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E0E" w:rsidRPr="003961FE" w:rsidRDefault="003961FE" w:rsidP="003961FE">
      <w:pPr>
        <w:spacing w:after="0" w:line="240" w:lineRule="auto"/>
        <w:rPr>
          <w:rFonts w:ascii="Verdana" w:hAnsi="Verdana"/>
          <w:b/>
          <w:sz w:val="24"/>
          <w:lang w:val="ro-RO"/>
        </w:rPr>
      </w:pPr>
      <w:r w:rsidRPr="003961FE">
        <w:rPr>
          <w:rFonts w:ascii="Verdana" w:hAnsi="Verdana"/>
          <w:b/>
          <w:sz w:val="24"/>
          <w:lang w:val="ro-RO"/>
        </w:rPr>
        <w:t>ROMÂNIA</w:t>
      </w:r>
    </w:p>
    <w:p w:rsidR="003961FE" w:rsidRPr="003961FE" w:rsidRDefault="003961FE" w:rsidP="003961FE">
      <w:pPr>
        <w:spacing w:after="0" w:line="240" w:lineRule="auto"/>
        <w:rPr>
          <w:rFonts w:ascii="Verdana" w:hAnsi="Verdana"/>
          <w:b/>
          <w:sz w:val="24"/>
          <w:lang w:val="ro-RO"/>
        </w:rPr>
      </w:pPr>
      <w:r w:rsidRPr="003961FE">
        <w:rPr>
          <w:rFonts w:ascii="Verdana" w:hAnsi="Verdana"/>
          <w:b/>
          <w:sz w:val="24"/>
          <w:lang w:val="ro-RO"/>
        </w:rPr>
        <w:t>JUDEȚUL BACĂU</w:t>
      </w:r>
    </w:p>
    <w:p w:rsidR="003961FE" w:rsidRPr="003961FE" w:rsidRDefault="003961FE" w:rsidP="003961FE">
      <w:pPr>
        <w:spacing w:after="0" w:line="240" w:lineRule="auto"/>
        <w:rPr>
          <w:rFonts w:ascii="Verdana" w:hAnsi="Verdana"/>
          <w:b/>
          <w:sz w:val="24"/>
          <w:lang w:val="ro-RO"/>
        </w:rPr>
      </w:pPr>
      <w:r w:rsidRPr="003961FE">
        <w:rPr>
          <w:rFonts w:ascii="Verdana" w:hAnsi="Verdana"/>
          <w:b/>
          <w:sz w:val="24"/>
          <w:lang w:val="ro-RO"/>
        </w:rPr>
        <w:t>COMUNA GURA VĂII</w:t>
      </w:r>
    </w:p>
    <w:p w:rsidR="003961FE" w:rsidRPr="003961FE" w:rsidRDefault="003961FE" w:rsidP="003961FE">
      <w:pPr>
        <w:spacing w:after="0" w:line="240" w:lineRule="auto"/>
        <w:rPr>
          <w:rFonts w:ascii="Verdana" w:hAnsi="Verdana"/>
          <w:b/>
          <w:sz w:val="24"/>
          <w:lang w:val="ro-RO"/>
        </w:rPr>
      </w:pPr>
      <w:r w:rsidRPr="003961FE">
        <w:rPr>
          <w:rFonts w:ascii="Verdana" w:hAnsi="Verdana"/>
          <w:b/>
          <w:sz w:val="24"/>
          <w:lang w:val="ro-RO"/>
        </w:rPr>
        <w:t>PRIMAR</w:t>
      </w:r>
    </w:p>
    <w:p w:rsidR="003961FE" w:rsidRPr="003961FE" w:rsidRDefault="003961FE" w:rsidP="003961FE">
      <w:pPr>
        <w:spacing w:after="0" w:line="240" w:lineRule="auto"/>
        <w:rPr>
          <w:rFonts w:ascii="Verdana" w:hAnsi="Verdana"/>
          <w:b/>
          <w:sz w:val="24"/>
          <w:lang w:val="ro-RO"/>
        </w:rPr>
      </w:pPr>
    </w:p>
    <w:p w:rsidR="003961FE" w:rsidRDefault="003961FE" w:rsidP="003961FE">
      <w:pPr>
        <w:spacing w:after="0" w:line="240" w:lineRule="auto"/>
        <w:rPr>
          <w:rFonts w:ascii="Verdana" w:hAnsi="Verdana"/>
          <w:b/>
          <w:sz w:val="24"/>
          <w:lang w:val="ro-RO"/>
        </w:rPr>
      </w:pPr>
      <w:r w:rsidRPr="003961FE">
        <w:rPr>
          <w:rFonts w:ascii="Verdana" w:hAnsi="Verdana"/>
          <w:b/>
          <w:sz w:val="24"/>
          <w:lang w:val="ro-RO"/>
        </w:rPr>
        <w:t>Nr. ............../26.11.2021</w:t>
      </w:r>
    </w:p>
    <w:p w:rsidR="003961FE" w:rsidRDefault="003961FE" w:rsidP="003961FE">
      <w:pPr>
        <w:spacing w:after="0" w:line="240" w:lineRule="auto"/>
        <w:rPr>
          <w:rFonts w:ascii="Verdana" w:hAnsi="Verdana"/>
          <w:b/>
          <w:sz w:val="24"/>
          <w:lang w:val="ro-RO"/>
        </w:rPr>
      </w:pPr>
    </w:p>
    <w:p w:rsidR="003961FE" w:rsidRDefault="003961FE" w:rsidP="003961FE">
      <w:pPr>
        <w:spacing w:after="0" w:line="240" w:lineRule="auto"/>
        <w:jc w:val="center"/>
        <w:rPr>
          <w:rFonts w:ascii="Verdana" w:hAnsi="Verdana"/>
          <w:b/>
          <w:sz w:val="24"/>
          <w:lang w:val="ro-RO"/>
        </w:rPr>
      </w:pPr>
      <w:r>
        <w:rPr>
          <w:rFonts w:ascii="Verdana" w:hAnsi="Verdana"/>
          <w:b/>
          <w:sz w:val="24"/>
          <w:lang w:val="ro-RO"/>
        </w:rPr>
        <w:t>=PROIECT DE HOTĂRÂRE=</w:t>
      </w:r>
    </w:p>
    <w:p w:rsidR="003961FE" w:rsidRDefault="003961FE" w:rsidP="003961FE">
      <w:pPr>
        <w:spacing w:after="0" w:line="240" w:lineRule="auto"/>
        <w:jc w:val="center"/>
        <w:rPr>
          <w:rFonts w:ascii="Verdana" w:hAnsi="Verdana"/>
          <w:b/>
          <w:sz w:val="24"/>
          <w:lang w:val="ro-RO"/>
        </w:rPr>
      </w:pPr>
      <w:r>
        <w:rPr>
          <w:rFonts w:ascii="Verdana" w:hAnsi="Verdana"/>
          <w:b/>
          <w:sz w:val="24"/>
          <w:lang w:val="ro-RO"/>
        </w:rPr>
        <w:t>Privind aprobarea Regulamentului de stabilire a condițiilor de majorare a impozitului pe clădirile și terenurile neîngijite de pe raza comunei Gura Văii, județul Bacău.</w:t>
      </w:r>
    </w:p>
    <w:p w:rsidR="003961FE" w:rsidRDefault="003961FE" w:rsidP="003961FE">
      <w:pPr>
        <w:spacing w:after="0" w:line="240" w:lineRule="auto"/>
        <w:jc w:val="center"/>
        <w:rPr>
          <w:rFonts w:ascii="Verdana" w:hAnsi="Verdana"/>
          <w:b/>
          <w:sz w:val="24"/>
          <w:lang w:val="ro-RO"/>
        </w:rPr>
      </w:pPr>
    </w:p>
    <w:p w:rsidR="003961FE" w:rsidRDefault="003961FE" w:rsidP="003961FE">
      <w:pPr>
        <w:spacing w:after="0" w:line="240" w:lineRule="auto"/>
        <w:rPr>
          <w:rFonts w:ascii="Verdana" w:hAnsi="Verdana"/>
          <w:b/>
          <w:sz w:val="24"/>
          <w:lang w:val="ro-RO"/>
        </w:rPr>
      </w:pPr>
      <w:r>
        <w:rPr>
          <w:rFonts w:ascii="Verdana" w:hAnsi="Verdana"/>
          <w:b/>
          <w:sz w:val="24"/>
          <w:lang w:val="ro-RO"/>
        </w:rPr>
        <w:t>Primarul comunei Gura Văii, Dl. Silviu Tinei.</w:t>
      </w:r>
    </w:p>
    <w:p w:rsidR="003961FE" w:rsidRDefault="003961FE" w:rsidP="003961FE">
      <w:pPr>
        <w:spacing w:after="0" w:line="240" w:lineRule="auto"/>
        <w:rPr>
          <w:rFonts w:ascii="Verdana" w:hAnsi="Verdana"/>
          <w:b/>
          <w:sz w:val="24"/>
          <w:lang w:val="ro-RO"/>
        </w:rPr>
      </w:pPr>
      <w:r>
        <w:rPr>
          <w:rFonts w:ascii="Verdana" w:hAnsi="Verdana"/>
          <w:b/>
          <w:sz w:val="24"/>
          <w:lang w:val="ro-RO"/>
        </w:rPr>
        <w:t>Având în vedere:</w:t>
      </w:r>
    </w:p>
    <w:p w:rsidR="003961FE" w:rsidRPr="00216B2D" w:rsidRDefault="003961FE"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Proiectul de hotărîre Privind aprobarea Regulamentului de stabilire a condițiilor de majorare a impozitului pe clădirile și terenurile neîngijite de pe raza comunei Gura Văii, județul Bacău nr. .........../26.11.2021 și aprobat prin Referatul de aprobare nr. ........../26.11.2021.</w:t>
      </w:r>
    </w:p>
    <w:p w:rsidR="003961FE" w:rsidRPr="00216B2D" w:rsidRDefault="003961FE"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Raportul de specialitate comun întocmit de Biroul Buget, Finanțe și Contabilitate și Biroul Amenajarea Teritoriului și Urbanism, Cadastru, Registru Agricol și Fond Funciar, nr. ................./26.11.2021.</w:t>
      </w:r>
    </w:p>
    <w:p w:rsidR="003961FE" w:rsidRPr="00216B2D" w:rsidRDefault="003961FE"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Avizele favorabile emise de Comisiile de specialitate de pe lîngă Consiliul Local al comunei Gura Văii.</w:t>
      </w:r>
    </w:p>
    <w:p w:rsidR="003961FE" w:rsidRDefault="003961FE" w:rsidP="003961FE">
      <w:pPr>
        <w:spacing w:after="0" w:line="240" w:lineRule="auto"/>
        <w:rPr>
          <w:rFonts w:ascii="Verdana" w:hAnsi="Verdana"/>
          <w:b/>
          <w:sz w:val="24"/>
          <w:lang w:val="ro-RO"/>
        </w:rPr>
      </w:pPr>
      <w:r>
        <w:rPr>
          <w:rFonts w:ascii="Verdana" w:hAnsi="Verdana"/>
          <w:b/>
          <w:sz w:val="24"/>
          <w:lang w:val="ro-RO"/>
        </w:rPr>
        <w:t>Prevederile:</w:t>
      </w:r>
    </w:p>
    <w:p w:rsidR="003961FE" w:rsidRPr="00216B2D" w:rsidRDefault="003961FE"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Titlului IX - ,, Impozite și taxe locale,, - art.489 alin.(4) – (8) din Legea nr.227/2015, actualizată, privind Codul Fiscal , cu modificările și completările ulterioare.</w:t>
      </w:r>
    </w:p>
    <w:p w:rsidR="003961FE" w:rsidRPr="00216B2D" w:rsidRDefault="003961FE" w:rsidP="00216B2D">
      <w:pPr>
        <w:pStyle w:val="ListParagraph"/>
        <w:numPr>
          <w:ilvl w:val="0"/>
          <w:numId w:val="1"/>
        </w:numPr>
        <w:jc w:val="both"/>
        <w:rPr>
          <w:rFonts w:ascii="Verdana" w:hAnsi="Verdana"/>
          <w:sz w:val="24"/>
          <w:lang w:val="ro-RO"/>
        </w:rPr>
      </w:pPr>
      <w:r w:rsidRPr="00216B2D">
        <w:rPr>
          <w:rFonts w:ascii="Verdana" w:hAnsi="Verdana"/>
          <w:sz w:val="24"/>
          <w:lang w:val="ro-RO"/>
        </w:rPr>
        <w:t>Pct.167 și 168 din H.G. nr.1/2016 pentru aprobarea Normelor Metodologice de aplicare  a Legii nr.</w:t>
      </w:r>
      <w:r w:rsidRPr="00216B2D">
        <w:t xml:space="preserve"> </w:t>
      </w:r>
      <w:r w:rsidRPr="00216B2D">
        <w:rPr>
          <w:rFonts w:ascii="Verdana" w:hAnsi="Verdana"/>
          <w:sz w:val="24"/>
          <w:lang w:val="ro-RO"/>
        </w:rPr>
        <w:t>227/2015, actualizată, privind Codul Fiscal , cu modificările și completările ulterioare.</w:t>
      </w:r>
    </w:p>
    <w:p w:rsidR="003961FE" w:rsidRPr="00216B2D" w:rsidRDefault="00216B2D"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Art.27 din Legea nr.273/2006 privind finanțele publice locale, cu modificările și completările ulterioare.</w:t>
      </w:r>
    </w:p>
    <w:p w:rsidR="00216B2D" w:rsidRDefault="00216B2D" w:rsidP="00216B2D">
      <w:pPr>
        <w:pStyle w:val="ListParagraph"/>
        <w:numPr>
          <w:ilvl w:val="0"/>
          <w:numId w:val="1"/>
        </w:numPr>
        <w:spacing w:after="0" w:line="240" w:lineRule="auto"/>
        <w:jc w:val="both"/>
        <w:rPr>
          <w:rFonts w:ascii="Verdana" w:hAnsi="Verdana"/>
          <w:sz w:val="24"/>
          <w:lang w:val="ro-RO"/>
        </w:rPr>
      </w:pPr>
      <w:r w:rsidRPr="00216B2D">
        <w:rPr>
          <w:rFonts w:ascii="Verdana" w:hAnsi="Verdana"/>
          <w:sz w:val="24"/>
          <w:lang w:val="ro-RO"/>
        </w:rPr>
        <w:t>Art.129 alin.(2) lit.b și  alin.(4) lit.c din OUG 57/2019, actualizată, privind Codul Administrativ, cu modificările și completările ulterioare.</w:t>
      </w:r>
    </w:p>
    <w:p w:rsidR="0089144C" w:rsidRDefault="0089144C" w:rsidP="0089144C">
      <w:pPr>
        <w:pStyle w:val="ListParagraph"/>
        <w:spacing w:after="0" w:line="240" w:lineRule="auto"/>
        <w:jc w:val="both"/>
        <w:rPr>
          <w:rFonts w:ascii="Verdana" w:hAnsi="Verdana"/>
          <w:sz w:val="24"/>
          <w:lang w:val="ro-RO"/>
        </w:rPr>
      </w:pPr>
    </w:p>
    <w:p w:rsidR="0089144C" w:rsidRPr="0089144C" w:rsidRDefault="0089144C" w:rsidP="0089144C">
      <w:pPr>
        <w:spacing w:after="0" w:line="240" w:lineRule="auto"/>
        <w:ind w:left="360"/>
        <w:jc w:val="both"/>
        <w:rPr>
          <w:rFonts w:ascii="Verdana" w:hAnsi="Verdana"/>
          <w:b/>
          <w:i/>
          <w:sz w:val="24"/>
          <w:lang w:val="ro-RO"/>
        </w:rPr>
      </w:pPr>
      <w:r w:rsidRPr="0089144C">
        <w:rPr>
          <w:rFonts w:ascii="Verdana" w:hAnsi="Verdana"/>
          <w:b/>
          <w:i/>
          <w:sz w:val="24"/>
          <w:lang w:val="ro-RO"/>
        </w:rPr>
        <w:t>Ținând cont de votul pentru a ____ consilieri, impotriva a ___ consilieri și __ abțineri</w:t>
      </w:r>
    </w:p>
    <w:p w:rsidR="00216B2D" w:rsidRPr="00216B2D" w:rsidRDefault="00216B2D" w:rsidP="00216B2D">
      <w:pPr>
        <w:pStyle w:val="ListParagraph"/>
        <w:spacing w:after="0" w:line="240" w:lineRule="auto"/>
        <w:jc w:val="both"/>
        <w:rPr>
          <w:rFonts w:ascii="Verdana" w:hAnsi="Verdana"/>
          <w:sz w:val="24"/>
          <w:lang w:val="ro-RO"/>
        </w:rPr>
      </w:pPr>
    </w:p>
    <w:p w:rsidR="00216B2D" w:rsidRDefault="00216B2D" w:rsidP="00216B2D">
      <w:pPr>
        <w:spacing w:after="0" w:line="240" w:lineRule="auto"/>
        <w:ind w:left="360"/>
        <w:jc w:val="both"/>
        <w:rPr>
          <w:rFonts w:ascii="Verdana" w:hAnsi="Verdana"/>
          <w:b/>
          <w:sz w:val="24"/>
          <w:lang w:val="ro-RO"/>
        </w:rPr>
      </w:pPr>
      <w:r>
        <w:rPr>
          <w:rFonts w:ascii="Verdana" w:hAnsi="Verdana"/>
          <w:b/>
          <w:sz w:val="24"/>
          <w:lang w:val="ro-RO"/>
        </w:rPr>
        <w:t xml:space="preserve">În temeiul prevederilor art.139 alin.(1) și art.196 alin.(1) lit.a din OUG 57/2019, </w:t>
      </w:r>
      <w:r w:rsidRPr="00216B2D">
        <w:rPr>
          <w:rFonts w:ascii="Verdana" w:hAnsi="Verdana"/>
          <w:b/>
          <w:sz w:val="24"/>
          <w:lang w:val="ro-RO"/>
        </w:rPr>
        <w:t>actualizată, privind Codul Administrativ, cu modificările și completările ulterioare.</w:t>
      </w:r>
    </w:p>
    <w:p w:rsidR="00216B2D" w:rsidRDefault="00216B2D" w:rsidP="00216B2D">
      <w:pPr>
        <w:spacing w:after="0" w:line="240" w:lineRule="auto"/>
        <w:ind w:left="360"/>
        <w:rPr>
          <w:rFonts w:ascii="Verdana" w:hAnsi="Verdana"/>
          <w:b/>
          <w:sz w:val="24"/>
          <w:lang w:val="ro-RO"/>
        </w:rPr>
      </w:pPr>
    </w:p>
    <w:p w:rsidR="00216B2D" w:rsidRDefault="00216B2D" w:rsidP="00216B2D">
      <w:pPr>
        <w:spacing w:after="0" w:line="240" w:lineRule="auto"/>
        <w:ind w:left="360"/>
        <w:rPr>
          <w:rFonts w:ascii="Verdana" w:hAnsi="Verdana"/>
          <w:b/>
          <w:sz w:val="24"/>
          <w:lang w:val="ro-RO"/>
        </w:rPr>
      </w:pPr>
      <w:r>
        <w:rPr>
          <w:rFonts w:ascii="Verdana" w:hAnsi="Verdana"/>
          <w:b/>
          <w:sz w:val="24"/>
          <w:lang w:val="ro-RO"/>
        </w:rPr>
        <w:t>Propune spre aprobare:</w:t>
      </w:r>
    </w:p>
    <w:p w:rsidR="00E82B88" w:rsidRDefault="00E82B88" w:rsidP="00216B2D">
      <w:pPr>
        <w:spacing w:after="0" w:line="240" w:lineRule="auto"/>
        <w:ind w:left="360"/>
        <w:rPr>
          <w:rFonts w:ascii="Verdana" w:hAnsi="Verdana"/>
          <w:b/>
          <w:sz w:val="24"/>
          <w:lang w:val="ro-RO"/>
        </w:rPr>
      </w:pPr>
    </w:p>
    <w:p w:rsidR="00216B2D" w:rsidRDefault="00216B2D" w:rsidP="00216B2D">
      <w:pPr>
        <w:spacing w:after="0" w:line="240" w:lineRule="auto"/>
        <w:ind w:left="360"/>
        <w:jc w:val="both"/>
        <w:rPr>
          <w:rFonts w:ascii="Verdana" w:hAnsi="Verdana"/>
          <w:sz w:val="24"/>
          <w:lang w:val="ro-RO"/>
        </w:rPr>
      </w:pPr>
      <w:r>
        <w:rPr>
          <w:rFonts w:ascii="Verdana" w:hAnsi="Verdana"/>
          <w:b/>
          <w:sz w:val="24"/>
          <w:lang w:val="ro-RO"/>
        </w:rPr>
        <w:lastRenderedPageBreak/>
        <w:t xml:space="preserve">Art.1 </w:t>
      </w:r>
      <w:r>
        <w:rPr>
          <w:rFonts w:ascii="Verdana" w:hAnsi="Verdana"/>
          <w:sz w:val="24"/>
          <w:lang w:val="ro-RO"/>
        </w:rPr>
        <w:t xml:space="preserve"> Se aprobă Regulamentul </w:t>
      </w:r>
      <w:r w:rsidRPr="00216B2D">
        <w:rPr>
          <w:rFonts w:ascii="Verdana" w:hAnsi="Verdana"/>
          <w:sz w:val="24"/>
          <w:lang w:val="ro-RO"/>
        </w:rPr>
        <w:t>de stabilire a condițiilor de majorare a impozitului pe clădirile și terenurile neîngijite de pe raza c</w:t>
      </w:r>
      <w:r>
        <w:rPr>
          <w:rFonts w:ascii="Verdana" w:hAnsi="Verdana"/>
          <w:sz w:val="24"/>
          <w:lang w:val="ro-RO"/>
        </w:rPr>
        <w:t>omunei Gura Văii, județul Bacău, conform Anexei ce face parte integrantă din prezenta hotărîre.</w:t>
      </w:r>
    </w:p>
    <w:p w:rsidR="00E82B88" w:rsidRDefault="00E82B88" w:rsidP="00216B2D">
      <w:pPr>
        <w:spacing w:after="0" w:line="240" w:lineRule="auto"/>
        <w:ind w:left="360"/>
        <w:jc w:val="both"/>
        <w:rPr>
          <w:rFonts w:ascii="Verdana" w:hAnsi="Verdana"/>
          <w:sz w:val="24"/>
          <w:lang w:val="ro-RO"/>
        </w:rPr>
      </w:pPr>
    </w:p>
    <w:p w:rsidR="00216B2D" w:rsidRDefault="00216B2D" w:rsidP="00216B2D">
      <w:pPr>
        <w:spacing w:after="0" w:line="240" w:lineRule="auto"/>
        <w:ind w:left="360"/>
        <w:jc w:val="both"/>
        <w:rPr>
          <w:rFonts w:ascii="Verdana" w:hAnsi="Verdana"/>
          <w:sz w:val="24"/>
          <w:lang w:val="ro-RO"/>
        </w:rPr>
      </w:pPr>
      <w:r>
        <w:rPr>
          <w:rFonts w:ascii="Verdana" w:hAnsi="Verdana"/>
          <w:b/>
          <w:sz w:val="24"/>
          <w:lang w:val="ro-RO"/>
        </w:rPr>
        <w:t>Art.2</w:t>
      </w:r>
      <w:r w:rsidR="006D7E3D">
        <w:rPr>
          <w:rFonts w:ascii="Verdana" w:hAnsi="Verdana"/>
          <w:b/>
          <w:sz w:val="24"/>
          <w:lang w:val="ro-RO"/>
        </w:rPr>
        <w:t>.1</w:t>
      </w:r>
      <w:r>
        <w:rPr>
          <w:rFonts w:ascii="Verdana" w:hAnsi="Verdana"/>
          <w:b/>
          <w:sz w:val="24"/>
          <w:lang w:val="ro-RO"/>
        </w:rPr>
        <w:t xml:space="preserve"> </w:t>
      </w:r>
      <w:r>
        <w:rPr>
          <w:rFonts w:ascii="Verdana" w:hAnsi="Verdana"/>
          <w:sz w:val="24"/>
          <w:lang w:val="ro-RO"/>
        </w:rPr>
        <w:t>Se aprobă majorarea impozitului</w:t>
      </w:r>
      <w:r w:rsidR="006D7E3D">
        <w:rPr>
          <w:rFonts w:ascii="Verdana" w:hAnsi="Verdana"/>
          <w:sz w:val="24"/>
          <w:lang w:val="ro-RO"/>
        </w:rPr>
        <w:t xml:space="preserve"> pe clădiri, </w:t>
      </w:r>
      <w:r>
        <w:rPr>
          <w:rFonts w:ascii="Verdana" w:hAnsi="Verdana"/>
          <w:sz w:val="24"/>
          <w:lang w:val="ro-RO"/>
        </w:rPr>
        <w:t xml:space="preserve"> pentru clădirile neîngrijite</w:t>
      </w:r>
      <w:r w:rsidR="006D7E3D">
        <w:rPr>
          <w:rFonts w:ascii="Verdana" w:hAnsi="Verdana"/>
          <w:sz w:val="24"/>
          <w:lang w:val="ro-RO"/>
        </w:rPr>
        <w:t>, după cum urmează:</w:t>
      </w:r>
    </w:p>
    <w:p w:rsidR="006D7E3D" w:rsidRPr="006D7E3D" w:rsidRDefault="006D7E3D" w:rsidP="006D7E3D">
      <w:pPr>
        <w:pStyle w:val="ListParagraph"/>
        <w:numPr>
          <w:ilvl w:val="0"/>
          <w:numId w:val="2"/>
        </w:numPr>
        <w:spacing w:after="0" w:line="240" w:lineRule="auto"/>
        <w:jc w:val="both"/>
        <w:rPr>
          <w:rFonts w:ascii="Verdana" w:hAnsi="Verdana"/>
          <w:sz w:val="24"/>
          <w:lang w:val="ro-RO"/>
        </w:rPr>
      </w:pPr>
      <w:r>
        <w:rPr>
          <w:rFonts w:ascii="Verdana" w:hAnsi="Verdana"/>
          <w:b/>
          <w:sz w:val="24"/>
          <w:lang w:val="ro-RO"/>
        </w:rPr>
        <w:t xml:space="preserve">cu </w:t>
      </w:r>
      <w:r w:rsidR="00DD3B11">
        <w:rPr>
          <w:rFonts w:ascii="Verdana" w:hAnsi="Verdana"/>
          <w:b/>
          <w:sz w:val="24"/>
          <w:lang w:val="ro-RO"/>
        </w:rPr>
        <w:t>100</w:t>
      </w:r>
      <w:r>
        <w:rPr>
          <w:rFonts w:ascii="Verdana" w:hAnsi="Verdana"/>
          <w:b/>
          <w:sz w:val="24"/>
          <w:lang w:val="ro-RO"/>
        </w:rPr>
        <w:t xml:space="preserve">% pentru punctajul procentual între </w:t>
      </w:r>
      <w:r w:rsidR="00DD3B11">
        <w:rPr>
          <w:rFonts w:ascii="Verdana" w:hAnsi="Verdana"/>
          <w:b/>
          <w:sz w:val="24"/>
          <w:lang w:val="ro-RO"/>
        </w:rPr>
        <w:t xml:space="preserve">2% </w:t>
      </w:r>
      <w:r>
        <w:rPr>
          <w:rFonts w:ascii="Verdana" w:hAnsi="Verdana"/>
          <w:b/>
          <w:sz w:val="24"/>
          <w:lang w:val="ro-RO"/>
        </w:rPr>
        <w:t xml:space="preserve">și </w:t>
      </w:r>
      <w:r w:rsidR="00DD3B11">
        <w:rPr>
          <w:rFonts w:ascii="Verdana" w:hAnsi="Verdana"/>
          <w:b/>
          <w:sz w:val="24"/>
          <w:lang w:val="ro-RO"/>
        </w:rPr>
        <w:t>20%</w:t>
      </w:r>
      <w:r>
        <w:rPr>
          <w:rFonts w:ascii="Verdana" w:hAnsi="Verdana"/>
          <w:b/>
          <w:sz w:val="24"/>
          <w:lang w:val="ro-RO"/>
        </w:rPr>
        <w:t>.</w:t>
      </w:r>
    </w:p>
    <w:p w:rsidR="006D7E3D" w:rsidRPr="00DD3B11" w:rsidRDefault="006D7E3D" w:rsidP="006D7E3D">
      <w:pPr>
        <w:pStyle w:val="ListParagraph"/>
        <w:numPr>
          <w:ilvl w:val="0"/>
          <w:numId w:val="2"/>
        </w:numPr>
        <w:spacing w:after="0" w:line="240" w:lineRule="auto"/>
        <w:jc w:val="both"/>
        <w:rPr>
          <w:rFonts w:ascii="Verdana" w:hAnsi="Verdana"/>
          <w:sz w:val="24"/>
          <w:lang w:val="ro-RO"/>
        </w:rPr>
      </w:pPr>
      <w:r>
        <w:rPr>
          <w:rFonts w:ascii="Verdana" w:hAnsi="Verdana"/>
          <w:b/>
          <w:sz w:val="24"/>
          <w:lang w:val="ro-RO"/>
        </w:rPr>
        <w:t xml:space="preserve">Cu </w:t>
      </w:r>
      <w:r w:rsidR="00DD3B11">
        <w:rPr>
          <w:rFonts w:ascii="Verdana" w:hAnsi="Verdana"/>
          <w:b/>
          <w:sz w:val="24"/>
          <w:lang w:val="ro-RO"/>
        </w:rPr>
        <w:t>200</w:t>
      </w:r>
      <w:r>
        <w:rPr>
          <w:rFonts w:ascii="Verdana" w:hAnsi="Verdana"/>
          <w:b/>
          <w:sz w:val="24"/>
          <w:lang w:val="ro-RO"/>
        </w:rPr>
        <w:t xml:space="preserve">% pentru punctajul procentual </w:t>
      </w:r>
      <w:r w:rsidR="00DD3B11">
        <w:rPr>
          <w:rFonts w:ascii="Verdana" w:hAnsi="Verdana"/>
          <w:b/>
          <w:sz w:val="24"/>
          <w:lang w:val="ro-RO"/>
        </w:rPr>
        <w:t>între 21% și 40%.</w:t>
      </w:r>
    </w:p>
    <w:p w:rsidR="00DD3B11" w:rsidRPr="00DD3B11" w:rsidRDefault="00DD3B11" w:rsidP="00DD3B11">
      <w:pPr>
        <w:pStyle w:val="ListParagraph"/>
        <w:numPr>
          <w:ilvl w:val="0"/>
          <w:numId w:val="2"/>
        </w:numPr>
        <w:rPr>
          <w:rFonts w:ascii="Verdana" w:hAnsi="Verdana"/>
          <w:b/>
          <w:sz w:val="24"/>
          <w:lang w:val="ro-RO"/>
        </w:rPr>
      </w:pPr>
      <w:r w:rsidRPr="00DD3B11">
        <w:rPr>
          <w:rFonts w:ascii="Verdana" w:hAnsi="Verdana"/>
          <w:b/>
          <w:sz w:val="24"/>
          <w:lang w:val="ro-RO"/>
        </w:rPr>
        <w:t>Cu 300% pentru punctajul procentual între 41</w:t>
      </w:r>
      <w:r>
        <w:rPr>
          <w:rFonts w:ascii="Verdana" w:hAnsi="Verdana"/>
          <w:b/>
          <w:sz w:val="24"/>
          <w:lang w:val="ro-RO"/>
        </w:rPr>
        <w:t>%</w:t>
      </w:r>
      <w:r w:rsidRPr="00DD3B11">
        <w:rPr>
          <w:rFonts w:ascii="Verdana" w:hAnsi="Verdana"/>
          <w:b/>
          <w:sz w:val="24"/>
          <w:lang w:val="ro-RO"/>
        </w:rPr>
        <w:t xml:space="preserve"> și 60</w:t>
      </w:r>
      <w:r>
        <w:rPr>
          <w:rFonts w:ascii="Verdana" w:hAnsi="Verdana"/>
          <w:b/>
          <w:sz w:val="24"/>
          <w:lang w:val="ro-RO"/>
        </w:rPr>
        <w:t>%</w:t>
      </w:r>
      <w:r w:rsidRPr="00DD3B11">
        <w:rPr>
          <w:rFonts w:ascii="Verdana" w:hAnsi="Verdana"/>
          <w:b/>
          <w:sz w:val="24"/>
          <w:lang w:val="ro-RO"/>
        </w:rPr>
        <w:t>.</w:t>
      </w:r>
    </w:p>
    <w:p w:rsidR="00DD3B11" w:rsidRPr="00DD3B11" w:rsidRDefault="00DD3B11" w:rsidP="00DD3B11">
      <w:pPr>
        <w:pStyle w:val="ListParagraph"/>
        <w:numPr>
          <w:ilvl w:val="0"/>
          <w:numId w:val="2"/>
        </w:numPr>
        <w:rPr>
          <w:rFonts w:ascii="Verdana" w:hAnsi="Verdana"/>
          <w:b/>
          <w:sz w:val="24"/>
          <w:lang w:val="ro-RO"/>
        </w:rPr>
      </w:pPr>
      <w:r w:rsidRPr="00DD3B11">
        <w:rPr>
          <w:rFonts w:ascii="Verdana" w:hAnsi="Verdana"/>
          <w:b/>
          <w:sz w:val="24"/>
          <w:lang w:val="ro-RO"/>
        </w:rPr>
        <w:t>Cu 400% pentru punctajul procentual între 61</w:t>
      </w:r>
      <w:r>
        <w:rPr>
          <w:rFonts w:ascii="Verdana" w:hAnsi="Verdana"/>
          <w:b/>
          <w:sz w:val="24"/>
          <w:lang w:val="ro-RO"/>
        </w:rPr>
        <w:t>%</w:t>
      </w:r>
      <w:r w:rsidRPr="00DD3B11">
        <w:rPr>
          <w:rFonts w:ascii="Verdana" w:hAnsi="Verdana"/>
          <w:b/>
          <w:sz w:val="24"/>
          <w:lang w:val="ro-RO"/>
        </w:rPr>
        <w:t xml:space="preserve"> și 80</w:t>
      </w:r>
      <w:r>
        <w:rPr>
          <w:rFonts w:ascii="Verdana" w:hAnsi="Verdana"/>
          <w:b/>
          <w:sz w:val="24"/>
          <w:lang w:val="ro-RO"/>
        </w:rPr>
        <w:t>%</w:t>
      </w:r>
      <w:r w:rsidRPr="00DD3B11">
        <w:rPr>
          <w:rFonts w:ascii="Verdana" w:hAnsi="Verdana"/>
          <w:b/>
          <w:sz w:val="24"/>
          <w:lang w:val="ro-RO"/>
        </w:rPr>
        <w:t>.</w:t>
      </w:r>
    </w:p>
    <w:p w:rsidR="00DD3B11" w:rsidRPr="00DD3B11" w:rsidRDefault="00DD3B11" w:rsidP="00DD3B11">
      <w:pPr>
        <w:pStyle w:val="ListParagraph"/>
        <w:numPr>
          <w:ilvl w:val="0"/>
          <w:numId w:val="2"/>
        </w:numPr>
        <w:rPr>
          <w:rFonts w:ascii="Verdana" w:hAnsi="Verdana"/>
          <w:b/>
          <w:sz w:val="24"/>
          <w:lang w:val="ro-RO"/>
        </w:rPr>
      </w:pPr>
      <w:r w:rsidRPr="00DD3B11">
        <w:rPr>
          <w:rFonts w:ascii="Verdana" w:hAnsi="Verdana"/>
          <w:b/>
          <w:sz w:val="24"/>
          <w:lang w:val="ro-RO"/>
        </w:rPr>
        <w:t>Cu 500% pentru punctajul procentual între 81</w:t>
      </w:r>
      <w:r>
        <w:rPr>
          <w:rFonts w:ascii="Verdana" w:hAnsi="Verdana"/>
          <w:b/>
          <w:sz w:val="24"/>
          <w:lang w:val="ro-RO"/>
        </w:rPr>
        <w:t>%</w:t>
      </w:r>
      <w:r w:rsidRPr="00DD3B11">
        <w:rPr>
          <w:rFonts w:ascii="Verdana" w:hAnsi="Verdana"/>
          <w:b/>
          <w:sz w:val="24"/>
          <w:lang w:val="ro-RO"/>
        </w:rPr>
        <w:t xml:space="preserve"> și 100</w:t>
      </w:r>
      <w:r>
        <w:rPr>
          <w:rFonts w:ascii="Verdana" w:hAnsi="Verdana"/>
          <w:b/>
          <w:sz w:val="24"/>
          <w:lang w:val="ro-RO"/>
        </w:rPr>
        <w:t>%</w:t>
      </w:r>
      <w:r w:rsidRPr="00DD3B11">
        <w:rPr>
          <w:rFonts w:ascii="Verdana" w:hAnsi="Verdana"/>
          <w:b/>
          <w:sz w:val="24"/>
          <w:lang w:val="ro-RO"/>
        </w:rPr>
        <w:t>.</w:t>
      </w:r>
    </w:p>
    <w:p w:rsidR="006D7E3D" w:rsidRPr="006D7E3D" w:rsidRDefault="006D7E3D" w:rsidP="006D7E3D">
      <w:pPr>
        <w:pStyle w:val="ListParagraph"/>
        <w:spacing w:after="0" w:line="240" w:lineRule="auto"/>
        <w:jc w:val="both"/>
        <w:rPr>
          <w:rFonts w:ascii="Verdana" w:hAnsi="Verdana"/>
          <w:sz w:val="24"/>
          <w:lang w:val="ro-RO"/>
        </w:rPr>
      </w:pPr>
    </w:p>
    <w:p w:rsidR="006D7E3D" w:rsidRDefault="006D7E3D" w:rsidP="006D7E3D">
      <w:pPr>
        <w:spacing w:after="0" w:line="240" w:lineRule="auto"/>
        <w:ind w:left="360"/>
        <w:jc w:val="both"/>
        <w:rPr>
          <w:rFonts w:ascii="Verdana" w:hAnsi="Verdana"/>
          <w:sz w:val="24"/>
          <w:lang w:val="ro-RO"/>
        </w:rPr>
      </w:pPr>
      <w:r w:rsidRPr="006D7E3D">
        <w:rPr>
          <w:rFonts w:ascii="Verdana" w:hAnsi="Verdana"/>
          <w:b/>
          <w:sz w:val="24"/>
          <w:lang w:val="ro-RO"/>
        </w:rPr>
        <w:t>Art.2.2</w:t>
      </w:r>
      <w:r>
        <w:rPr>
          <w:rFonts w:ascii="Verdana" w:hAnsi="Verdana"/>
          <w:sz w:val="24"/>
          <w:lang w:val="ro-RO"/>
        </w:rPr>
        <w:t xml:space="preserve"> Punctajul va fi stabilit conform criteriilor de încadrare prevăzute în Anexa nr.1 la </w:t>
      </w:r>
      <w:r w:rsidRPr="006D7E3D">
        <w:rPr>
          <w:rFonts w:ascii="Verdana" w:hAnsi="Verdana"/>
          <w:sz w:val="24"/>
          <w:lang w:val="ro-RO"/>
        </w:rPr>
        <w:t>Regulamentul de stabilire a condițiilor de majorare a impozitului pe clădirile și terenurile neîngijite de pe raza comunei Gura Văii, județul Bacău</w:t>
      </w:r>
      <w:r>
        <w:rPr>
          <w:rFonts w:ascii="Verdana" w:hAnsi="Verdana"/>
          <w:sz w:val="24"/>
          <w:lang w:val="ro-RO"/>
        </w:rPr>
        <w:t>.</w:t>
      </w:r>
    </w:p>
    <w:p w:rsidR="006D7E3D" w:rsidRDefault="006D7E3D" w:rsidP="006D7E3D">
      <w:pPr>
        <w:spacing w:after="0" w:line="240" w:lineRule="auto"/>
        <w:ind w:left="360"/>
        <w:jc w:val="both"/>
        <w:rPr>
          <w:rFonts w:ascii="Verdana" w:hAnsi="Verdana"/>
          <w:sz w:val="24"/>
          <w:lang w:val="ro-RO"/>
        </w:rPr>
      </w:pPr>
    </w:p>
    <w:p w:rsidR="006D7E3D" w:rsidRDefault="006D7E3D" w:rsidP="006D7E3D">
      <w:pPr>
        <w:spacing w:after="0" w:line="240" w:lineRule="auto"/>
        <w:ind w:left="360"/>
        <w:jc w:val="both"/>
        <w:rPr>
          <w:rFonts w:ascii="Verdana" w:hAnsi="Verdana"/>
          <w:sz w:val="24"/>
          <w:lang w:val="ro-RO"/>
        </w:rPr>
      </w:pPr>
      <w:r>
        <w:rPr>
          <w:rFonts w:ascii="Verdana" w:hAnsi="Verdana"/>
          <w:b/>
          <w:sz w:val="24"/>
          <w:lang w:val="ro-RO"/>
        </w:rPr>
        <w:t xml:space="preserve">Art.3.1 </w:t>
      </w:r>
      <w:r>
        <w:rPr>
          <w:rFonts w:ascii="Verdana" w:hAnsi="Verdana"/>
          <w:sz w:val="24"/>
          <w:lang w:val="ro-RO"/>
        </w:rPr>
        <w:t>Se aprobă majorarea impozitului pe teren, pentru terenurile neîngrijite situate în intravilan, după cum urmează:</w:t>
      </w:r>
    </w:p>
    <w:p w:rsidR="00DD3B11" w:rsidRPr="00DD3B11" w:rsidRDefault="00DD3B11" w:rsidP="00DD3B11">
      <w:pPr>
        <w:spacing w:after="0" w:line="240" w:lineRule="auto"/>
        <w:ind w:left="360"/>
        <w:jc w:val="both"/>
        <w:rPr>
          <w:rFonts w:ascii="Verdana" w:hAnsi="Verdana"/>
          <w:sz w:val="24"/>
          <w:lang w:val="ro-RO"/>
        </w:rPr>
      </w:pPr>
      <w:r>
        <w:rPr>
          <w:rFonts w:ascii="Verdana" w:hAnsi="Verdana"/>
          <w:b/>
          <w:sz w:val="24"/>
          <w:lang w:val="ro-RO"/>
        </w:rPr>
        <w:t>a.</w:t>
      </w:r>
      <w:r w:rsidRPr="00DD3B11">
        <w:rPr>
          <w:rFonts w:ascii="Verdana" w:hAnsi="Verdana"/>
          <w:b/>
          <w:sz w:val="24"/>
          <w:lang w:val="ro-RO"/>
        </w:rPr>
        <w:t>cu 100% pentru punctajul procentual între 2% și 20%.</w:t>
      </w:r>
    </w:p>
    <w:p w:rsidR="00DD3B11" w:rsidRPr="00DD3B11" w:rsidRDefault="00DD3B11" w:rsidP="00DD3B11">
      <w:pPr>
        <w:spacing w:after="0" w:line="240" w:lineRule="auto"/>
        <w:ind w:left="360"/>
        <w:jc w:val="both"/>
        <w:rPr>
          <w:rFonts w:ascii="Verdana" w:hAnsi="Verdana"/>
          <w:sz w:val="24"/>
          <w:lang w:val="ro-RO"/>
        </w:rPr>
      </w:pPr>
      <w:r>
        <w:rPr>
          <w:rFonts w:ascii="Verdana" w:hAnsi="Verdana"/>
          <w:b/>
          <w:sz w:val="24"/>
          <w:lang w:val="ro-RO"/>
        </w:rPr>
        <w:t>b.</w:t>
      </w:r>
      <w:r w:rsidRPr="00DD3B11">
        <w:rPr>
          <w:rFonts w:ascii="Verdana" w:hAnsi="Verdana"/>
          <w:b/>
          <w:sz w:val="24"/>
          <w:lang w:val="ro-RO"/>
        </w:rPr>
        <w:t>Cu 200% pentru punctajul procentual între 21% și 40%.</w:t>
      </w:r>
    </w:p>
    <w:p w:rsidR="00DD3B11" w:rsidRPr="00DD3B11" w:rsidRDefault="00DD3B11" w:rsidP="00DD3B11">
      <w:pPr>
        <w:spacing w:after="0"/>
        <w:ind w:left="360"/>
        <w:rPr>
          <w:rFonts w:ascii="Verdana" w:hAnsi="Verdana"/>
          <w:b/>
          <w:sz w:val="24"/>
          <w:lang w:val="ro-RO"/>
        </w:rPr>
      </w:pPr>
      <w:r>
        <w:rPr>
          <w:rFonts w:ascii="Verdana" w:hAnsi="Verdana"/>
          <w:b/>
          <w:sz w:val="24"/>
          <w:lang w:val="ro-RO"/>
        </w:rPr>
        <w:t>c.</w:t>
      </w:r>
      <w:r w:rsidRPr="00DD3B11">
        <w:rPr>
          <w:rFonts w:ascii="Verdana" w:hAnsi="Verdana"/>
          <w:b/>
          <w:sz w:val="24"/>
          <w:lang w:val="ro-RO"/>
        </w:rPr>
        <w:t>Cu 300% pentru punctajul procentual între 41% și 60%.</w:t>
      </w:r>
    </w:p>
    <w:p w:rsidR="00DD3B11" w:rsidRPr="00DD3B11" w:rsidRDefault="00DD3B11" w:rsidP="00DD3B11">
      <w:pPr>
        <w:spacing w:after="0"/>
        <w:ind w:left="360"/>
        <w:rPr>
          <w:rFonts w:ascii="Verdana" w:hAnsi="Verdana"/>
          <w:b/>
          <w:sz w:val="24"/>
          <w:lang w:val="ro-RO"/>
        </w:rPr>
      </w:pPr>
      <w:r>
        <w:rPr>
          <w:rFonts w:ascii="Verdana" w:hAnsi="Verdana"/>
          <w:b/>
          <w:sz w:val="24"/>
          <w:lang w:val="ro-RO"/>
        </w:rPr>
        <w:t>d.</w:t>
      </w:r>
      <w:r w:rsidRPr="00DD3B11">
        <w:rPr>
          <w:rFonts w:ascii="Verdana" w:hAnsi="Verdana"/>
          <w:b/>
          <w:sz w:val="24"/>
          <w:lang w:val="ro-RO"/>
        </w:rPr>
        <w:t>Cu 400% pentru punctajul procentual între 61% și 80%.</w:t>
      </w:r>
    </w:p>
    <w:p w:rsidR="00DD3B11" w:rsidRPr="00DD3B11" w:rsidRDefault="00DD3B11" w:rsidP="00DD3B11">
      <w:pPr>
        <w:spacing w:after="0"/>
        <w:ind w:left="360"/>
        <w:rPr>
          <w:rFonts w:ascii="Verdana" w:hAnsi="Verdana"/>
          <w:b/>
          <w:sz w:val="24"/>
          <w:lang w:val="ro-RO"/>
        </w:rPr>
      </w:pPr>
      <w:r>
        <w:rPr>
          <w:rFonts w:ascii="Verdana" w:hAnsi="Verdana"/>
          <w:b/>
          <w:sz w:val="24"/>
          <w:lang w:val="ro-RO"/>
        </w:rPr>
        <w:t>e.</w:t>
      </w:r>
      <w:r w:rsidRPr="00DD3B11">
        <w:rPr>
          <w:rFonts w:ascii="Verdana" w:hAnsi="Verdana"/>
          <w:b/>
          <w:sz w:val="24"/>
          <w:lang w:val="ro-RO"/>
        </w:rPr>
        <w:t>Cu 500% pentru punctajul procentual între 81% și 100%.</w:t>
      </w:r>
    </w:p>
    <w:p w:rsidR="006D7E3D" w:rsidRDefault="006D7E3D" w:rsidP="006D7E3D">
      <w:pPr>
        <w:ind w:left="360"/>
        <w:jc w:val="both"/>
        <w:rPr>
          <w:rFonts w:ascii="Verdana" w:hAnsi="Verdana"/>
          <w:sz w:val="24"/>
          <w:lang w:val="ro-RO"/>
        </w:rPr>
      </w:pPr>
      <w:r>
        <w:rPr>
          <w:rFonts w:ascii="Verdana" w:hAnsi="Verdana"/>
          <w:b/>
          <w:sz w:val="24"/>
          <w:lang w:val="ro-RO"/>
        </w:rPr>
        <w:t>Art.3.2</w:t>
      </w:r>
      <w:r w:rsidRPr="006D7E3D">
        <w:t xml:space="preserve"> </w:t>
      </w:r>
      <w:r w:rsidRPr="006D7E3D">
        <w:rPr>
          <w:rFonts w:ascii="Verdana" w:hAnsi="Verdana"/>
          <w:sz w:val="24"/>
          <w:lang w:val="ro-RO"/>
        </w:rPr>
        <w:t>Punctajul va fi stabilit conform criteriilor de î</w:t>
      </w:r>
      <w:r>
        <w:rPr>
          <w:rFonts w:ascii="Verdana" w:hAnsi="Verdana"/>
          <w:sz w:val="24"/>
          <w:lang w:val="ro-RO"/>
        </w:rPr>
        <w:t>ncadrare prevăzute în Anexa nr.2</w:t>
      </w:r>
      <w:r w:rsidRPr="006D7E3D">
        <w:rPr>
          <w:rFonts w:ascii="Verdana" w:hAnsi="Verdana"/>
          <w:sz w:val="24"/>
          <w:lang w:val="ro-RO"/>
        </w:rPr>
        <w:t xml:space="preserve"> la Regulamentul de stabilire a condițiilor de majorare a impozitului pe clădirile și terenurile neîngijite de pe raza comunei Gura Văii, județul Bacău.</w:t>
      </w:r>
    </w:p>
    <w:p w:rsidR="006D7E3D" w:rsidRDefault="006D7E3D" w:rsidP="006D7E3D">
      <w:pPr>
        <w:ind w:left="360"/>
        <w:jc w:val="both"/>
        <w:rPr>
          <w:rFonts w:ascii="Verdana" w:hAnsi="Verdana"/>
          <w:sz w:val="24"/>
          <w:lang w:val="ro-RO"/>
        </w:rPr>
      </w:pPr>
      <w:r>
        <w:rPr>
          <w:rFonts w:ascii="Verdana" w:hAnsi="Verdana"/>
          <w:b/>
          <w:sz w:val="24"/>
          <w:lang w:val="ro-RO"/>
        </w:rPr>
        <w:t>Art.4</w:t>
      </w:r>
      <w:r>
        <w:rPr>
          <w:rFonts w:ascii="Verdana" w:hAnsi="Verdana"/>
          <w:sz w:val="24"/>
          <w:lang w:val="ro-RO"/>
        </w:rPr>
        <w:t xml:space="preserve"> Pentru terenul agricol nelucrat timp de 2 ani consecutiv, impozitul pe teren se majorează începând cu al 3 lea an cu cota stabilită în conformitate cu condițiile de verificare, respectiv a metodologiei precizate în  </w:t>
      </w:r>
      <w:r w:rsidRPr="006D7E3D">
        <w:rPr>
          <w:rFonts w:ascii="Verdana" w:hAnsi="Verdana"/>
          <w:sz w:val="24"/>
          <w:lang w:val="ro-RO"/>
        </w:rPr>
        <w:t>Regulamentul de stabilire a condițiilor de majorare a impozitului pe clădirile și terenurile neîngijite de pe raza comunei Gura Văii, județul Bacău.</w:t>
      </w:r>
    </w:p>
    <w:p w:rsidR="006D7E3D" w:rsidRDefault="006D7E3D" w:rsidP="006D7E3D">
      <w:pPr>
        <w:ind w:left="360"/>
        <w:jc w:val="both"/>
        <w:rPr>
          <w:rFonts w:ascii="Verdana" w:hAnsi="Verdana"/>
          <w:sz w:val="24"/>
          <w:lang w:val="ro-RO"/>
        </w:rPr>
      </w:pPr>
      <w:r>
        <w:rPr>
          <w:rFonts w:ascii="Verdana" w:hAnsi="Verdana"/>
          <w:b/>
          <w:sz w:val="24"/>
          <w:lang w:val="ro-RO"/>
        </w:rPr>
        <w:t>Art.5</w:t>
      </w:r>
      <w:r w:rsidR="00E82B88">
        <w:rPr>
          <w:rFonts w:ascii="Verdana" w:hAnsi="Verdana"/>
          <w:b/>
          <w:sz w:val="24"/>
          <w:lang w:val="ro-RO"/>
        </w:rPr>
        <w:t xml:space="preserve"> </w:t>
      </w:r>
      <w:r w:rsidR="00E82B88">
        <w:rPr>
          <w:rFonts w:ascii="Verdana" w:hAnsi="Verdana"/>
          <w:sz w:val="24"/>
          <w:lang w:val="ro-RO"/>
        </w:rPr>
        <w:t xml:space="preserve">Clădirile și terenurile care intră sub incidența prezentei hotărâri, respectiv art.2.1, art.2.2, art.3.1, art.3.2 și art.4, vor fi stabilite prin Hotărîre a Consiliului local , conform elementelor de identificare potrivit nomenclaturii stradale/respectiv elementelor de identificare în cazul terenurilor agricole și va avea caracter individual. </w:t>
      </w:r>
    </w:p>
    <w:p w:rsidR="00E82B88" w:rsidRDefault="00E82B88" w:rsidP="00E82B88">
      <w:pPr>
        <w:ind w:left="360"/>
        <w:jc w:val="both"/>
        <w:rPr>
          <w:rFonts w:ascii="Verdana" w:hAnsi="Verdana"/>
          <w:sz w:val="24"/>
          <w:lang w:val="ro-RO"/>
        </w:rPr>
      </w:pPr>
      <w:r>
        <w:rPr>
          <w:rFonts w:ascii="Verdana" w:hAnsi="Verdana"/>
          <w:b/>
          <w:sz w:val="24"/>
          <w:lang w:val="ro-RO"/>
        </w:rPr>
        <w:lastRenderedPageBreak/>
        <w:t xml:space="preserve">Art.6 </w:t>
      </w:r>
      <w:r>
        <w:rPr>
          <w:rFonts w:ascii="Verdana" w:hAnsi="Verdana"/>
          <w:sz w:val="24"/>
          <w:lang w:val="ro-RO"/>
        </w:rPr>
        <w:t>Prezenta hotărîre este act administrativ și poate fi atacată , în conformitate cu prevederile Legii nr.554/2004 privind Contenciosul Administrativ, la Tribunalul Bacău, după efectuarea procedurii prealabile.</w:t>
      </w:r>
    </w:p>
    <w:p w:rsidR="00E82B88" w:rsidRDefault="00E82B88" w:rsidP="00E82B88">
      <w:pPr>
        <w:ind w:left="360"/>
        <w:jc w:val="both"/>
        <w:rPr>
          <w:rFonts w:ascii="Verdana" w:hAnsi="Verdana"/>
          <w:sz w:val="24"/>
          <w:lang w:val="ro-RO"/>
        </w:rPr>
      </w:pPr>
      <w:r>
        <w:rPr>
          <w:rFonts w:ascii="Verdana" w:hAnsi="Verdana"/>
          <w:b/>
          <w:sz w:val="24"/>
          <w:lang w:val="ro-RO"/>
        </w:rPr>
        <w:t xml:space="preserve">Art.7 </w:t>
      </w:r>
      <w:r>
        <w:rPr>
          <w:rFonts w:ascii="Verdana" w:hAnsi="Verdana"/>
          <w:sz w:val="24"/>
          <w:lang w:val="ro-RO"/>
        </w:rPr>
        <w:t>Primarul comunei Gura Văii prin aparatul de specialitate va organiza punerea în aplicare a prezentei hotărîri.</w:t>
      </w:r>
    </w:p>
    <w:p w:rsidR="00E82B88" w:rsidRDefault="00E82B88" w:rsidP="00E82B88">
      <w:pPr>
        <w:ind w:left="360"/>
        <w:jc w:val="both"/>
        <w:rPr>
          <w:rFonts w:ascii="Verdana" w:hAnsi="Verdana"/>
          <w:sz w:val="24"/>
          <w:lang w:val="ro-RO"/>
        </w:rPr>
      </w:pPr>
      <w:r>
        <w:rPr>
          <w:rFonts w:ascii="Verdana" w:hAnsi="Verdana"/>
          <w:b/>
          <w:sz w:val="24"/>
          <w:lang w:val="ro-RO"/>
        </w:rPr>
        <w:t xml:space="preserve">Art.8 </w:t>
      </w:r>
      <w:r>
        <w:rPr>
          <w:rFonts w:ascii="Verdana" w:hAnsi="Verdana"/>
          <w:sz w:val="24"/>
          <w:lang w:val="ro-RO"/>
        </w:rPr>
        <w:t>Secretarul general al comunei Gura Văii va comunica hotărîrea :</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Primarului comunei Gura Văii.</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Biroului Buget , Finanțe și Contabilitate.</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Biroului Amenajarea Teritoriului și Urbanism, Cadastru, Registru Agricol și Fond Funciar.</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Compartimentului Poliție Locală.</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Instituției Prefectului – Județul Bacău.</w:t>
      </w:r>
    </w:p>
    <w:p w:rsidR="00E82B88" w:rsidRPr="00E82B88" w:rsidRDefault="00E82B88" w:rsidP="00E82B88">
      <w:pPr>
        <w:pStyle w:val="ListParagraph"/>
        <w:numPr>
          <w:ilvl w:val="0"/>
          <w:numId w:val="1"/>
        </w:numPr>
        <w:jc w:val="both"/>
        <w:rPr>
          <w:rFonts w:ascii="Verdana" w:hAnsi="Verdana"/>
          <w:lang w:val="ro-RO"/>
        </w:rPr>
      </w:pPr>
      <w:r w:rsidRPr="00E82B88">
        <w:rPr>
          <w:rFonts w:ascii="Verdana" w:hAnsi="Verdana"/>
          <w:b/>
          <w:lang w:val="ro-RO"/>
        </w:rPr>
        <w:t>Publicului prin afișare la sediu și in Monitorul Oficial Local.</w:t>
      </w:r>
    </w:p>
    <w:p w:rsidR="00E82B88" w:rsidRDefault="00E82B88" w:rsidP="00E82B88">
      <w:pPr>
        <w:jc w:val="both"/>
        <w:rPr>
          <w:rFonts w:ascii="Verdana" w:hAnsi="Verdana"/>
          <w:lang w:val="ro-RO"/>
        </w:rPr>
      </w:pPr>
    </w:p>
    <w:p w:rsidR="00E82B88" w:rsidRPr="0089144C" w:rsidRDefault="0089144C" w:rsidP="0089144C">
      <w:pPr>
        <w:spacing w:after="0"/>
        <w:jc w:val="both"/>
        <w:rPr>
          <w:rFonts w:ascii="Verdana" w:hAnsi="Verdana"/>
          <w:b/>
          <w:lang w:val="ro-RO"/>
        </w:rPr>
      </w:pPr>
      <w:r w:rsidRPr="0089144C">
        <w:rPr>
          <w:rFonts w:ascii="Verdana" w:hAnsi="Verdana"/>
          <w:b/>
          <w:lang w:val="ro-RO"/>
        </w:rPr>
        <w:t>Inițiator al Proiectului de Hotărîre</w:t>
      </w:r>
    </w:p>
    <w:p w:rsidR="0089144C" w:rsidRDefault="0089144C" w:rsidP="0089144C">
      <w:pPr>
        <w:spacing w:after="0"/>
        <w:jc w:val="both"/>
        <w:rPr>
          <w:rFonts w:ascii="Verdana" w:hAnsi="Verdana"/>
          <w:b/>
          <w:lang w:val="ro-RO"/>
        </w:rPr>
      </w:pPr>
      <w:r w:rsidRPr="0089144C">
        <w:rPr>
          <w:rFonts w:ascii="Verdana" w:hAnsi="Verdana"/>
          <w:b/>
          <w:lang w:val="ro-RO"/>
        </w:rPr>
        <w:t>Primar- Silviu Tinei</w:t>
      </w:r>
    </w:p>
    <w:p w:rsidR="0089144C" w:rsidRDefault="0089144C" w:rsidP="0089144C">
      <w:pPr>
        <w:spacing w:after="0"/>
        <w:jc w:val="both"/>
        <w:rPr>
          <w:rFonts w:ascii="Verdana" w:hAnsi="Verdana"/>
          <w:b/>
          <w:lang w:val="ro-RO"/>
        </w:rPr>
      </w:pPr>
    </w:p>
    <w:p w:rsidR="0089144C" w:rsidRDefault="0089144C" w:rsidP="0089144C">
      <w:pPr>
        <w:spacing w:after="0"/>
        <w:jc w:val="right"/>
        <w:rPr>
          <w:rFonts w:ascii="Verdana" w:hAnsi="Verdana"/>
          <w:b/>
          <w:lang w:val="ro-RO"/>
        </w:rPr>
      </w:pPr>
      <w:r>
        <w:rPr>
          <w:rFonts w:ascii="Verdana" w:hAnsi="Verdana"/>
          <w:b/>
          <w:lang w:val="ro-RO"/>
        </w:rPr>
        <w:t>Avizat pt.legalitate</w:t>
      </w:r>
    </w:p>
    <w:p w:rsidR="0089144C" w:rsidRDefault="0089144C" w:rsidP="0089144C">
      <w:pPr>
        <w:spacing w:after="0"/>
        <w:jc w:val="right"/>
        <w:rPr>
          <w:rFonts w:ascii="Verdana" w:hAnsi="Verdana"/>
          <w:b/>
          <w:lang w:val="ro-RO"/>
        </w:rPr>
      </w:pPr>
      <w:r>
        <w:rPr>
          <w:rFonts w:ascii="Verdana" w:hAnsi="Verdana"/>
          <w:b/>
          <w:lang w:val="ro-RO"/>
        </w:rPr>
        <w:t>Secretar General al comunei</w:t>
      </w:r>
    </w:p>
    <w:p w:rsidR="0089144C" w:rsidRPr="0089144C" w:rsidRDefault="0089144C" w:rsidP="0089144C">
      <w:pPr>
        <w:spacing w:after="0"/>
        <w:jc w:val="right"/>
        <w:rPr>
          <w:rFonts w:ascii="Verdana" w:hAnsi="Verdana"/>
          <w:b/>
          <w:lang w:val="ro-RO"/>
        </w:rPr>
      </w:pPr>
      <w:r>
        <w:rPr>
          <w:rFonts w:ascii="Verdana" w:hAnsi="Verdana"/>
          <w:b/>
          <w:lang w:val="ro-RO"/>
        </w:rPr>
        <w:t>Cornel Panțiru</w:t>
      </w:r>
    </w:p>
    <w:p w:rsidR="006D7E3D" w:rsidRDefault="006D7E3D"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Default="0089144C" w:rsidP="006D7E3D">
      <w:pPr>
        <w:pStyle w:val="ListParagraph"/>
        <w:spacing w:after="0" w:line="240" w:lineRule="auto"/>
        <w:jc w:val="both"/>
        <w:rPr>
          <w:rFonts w:ascii="Verdana" w:hAnsi="Verdana"/>
          <w:sz w:val="24"/>
          <w:lang w:val="ro-RO"/>
        </w:rPr>
      </w:pPr>
    </w:p>
    <w:p w:rsidR="0089144C" w:rsidRPr="0089144C" w:rsidRDefault="0089144C" w:rsidP="0089144C">
      <w:pPr>
        <w:pStyle w:val="ListParagraph"/>
        <w:spacing w:after="0" w:line="240" w:lineRule="auto"/>
        <w:jc w:val="right"/>
        <w:rPr>
          <w:rFonts w:ascii="Verdana" w:hAnsi="Verdana"/>
          <w:sz w:val="20"/>
          <w:lang w:val="ro-RO"/>
        </w:rPr>
      </w:pPr>
      <w:r w:rsidRPr="0089144C">
        <w:rPr>
          <w:rFonts w:ascii="Verdana" w:hAnsi="Verdana"/>
          <w:sz w:val="20"/>
          <w:lang w:val="ro-RO"/>
        </w:rPr>
        <w:t>Anexa la P.H.C.L. nr. ......./26.11.2021</w:t>
      </w:r>
    </w:p>
    <w:p w:rsidR="0089144C" w:rsidRDefault="0089144C" w:rsidP="0089144C">
      <w:pPr>
        <w:pStyle w:val="ListParagraph"/>
        <w:spacing w:after="0" w:line="240" w:lineRule="auto"/>
        <w:jc w:val="right"/>
        <w:rPr>
          <w:rFonts w:ascii="Verdana" w:hAnsi="Verdana"/>
          <w:b/>
          <w:sz w:val="24"/>
          <w:lang w:val="ro-RO"/>
        </w:rPr>
      </w:pPr>
    </w:p>
    <w:p w:rsidR="0089144C" w:rsidRDefault="0089144C" w:rsidP="0089144C">
      <w:pPr>
        <w:pStyle w:val="ListParagraph"/>
        <w:spacing w:after="0" w:line="240" w:lineRule="auto"/>
        <w:jc w:val="center"/>
        <w:rPr>
          <w:rFonts w:ascii="Verdana" w:hAnsi="Verdana"/>
          <w:b/>
          <w:sz w:val="28"/>
          <w:u w:val="single"/>
          <w:lang w:val="ro-RO"/>
        </w:rPr>
      </w:pPr>
      <w:r w:rsidRPr="0089144C">
        <w:rPr>
          <w:rFonts w:ascii="Verdana" w:hAnsi="Verdana"/>
          <w:b/>
          <w:sz w:val="28"/>
          <w:u w:val="single"/>
          <w:lang w:val="ro-RO"/>
        </w:rPr>
        <w:t>Regulamentul de stabilire a condițiilor de majorare a impozitului pe clădirile și terenurile neîngijite de pe raza comunei Gura Văii, județul Bacău.</w:t>
      </w:r>
    </w:p>
    <w:p w:rsidR="0089144C" w:rsidRDefault="0089144C" w:rsidP="0089144C">
      <w:pPr>
        <w:pStyle w:val="ListParagraph"/>
        <w:spacing w:after="0" w:line="240" w:lineRule="auto"/>
        <w:jc w:val="center"/>
        <w:rPr>
          <w:rFonts w:ascii="Verdana" w:hAnsi="Verdana"/>
          <w:b/>
          <w:sz w:val="28"/>
          <w:u w:val="single"/>
          <w:lang w:val="ro-RO"/>
        </w:rPr>
      </w:pPr>
    </w:p>
    <w:p w:rsidR="0089144C" w:rsidRDefault="0089144C" w:rsidP="0067775F">
      <w:pPr>
        <w:pStyle w:val="ListParagraph"/>
        <w:spacing w:after="0" w:line="240" w:lineRule="auto"/>
        <w:jc w:val="both"/>
        <w:rPr>
          <w:rFonts w:ascii="Verdana" w:hAnsi="Verdana"/>
          <w:b/>
          <w:sz w:val="24"/>
          <w:lang w:val="ro-RO"/>
        </w:rPr>
      </w:pPr>
      <w:r w:rsidRPr="0067775F">
        <w:rPr>
          <w:rFonts w:ascii="Verdana" w:hAnsi="Verdana"/>
          <w:b/>
          <w:sz w:val="24"/>
          <w:lang w:val="ro-RO"/>
        </w:rPr>
        <w:t>CAP.l. GENERALITĂŢI</w:t>
      </w:r>
    </w:p>
    <w:p w:rsidR="0067775F" w:rsidRPr="0067775F" w:rsidRDefault="0067775F" w:rsidP="0067775F">
      <w:pPr>
        <w:pStyle w:val="ListParagraph"/>
        <w:spacing w:after="0" w:line="240" w:lineRule="auto"/>
        <w:jc w:val="both"/>
        <w:rPr>
          <w:rFonts w:ascii="Verdana" w:hAnsi="Verdana"/>
          <w:b/>
          <w:sz w:val="24"/>
          <w:lang w:val="ro-RO"/>
        </w:rPr>
      </w:pP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b/>
          <w:sz w:val="24"/>
          <w:lang w:val="ro-RO"/>
        </w:rPr>
        <w:t>ART.l. OBIECTIVUL PRINCIPAL AL PREZENTULUI REGULAMENT</w:t>
      </w:r>
      <w:r w:rsidRPr="00542041">
        <w:rPr>
          <w:rFonts w:ascii="Verdana" w:hAnsi="Verdana"/>
          <w:lang w:val="ro-RO"/>
        </w:rPr>
        <w:t xml:space="preserve"> îl constituie asigurarea punerii în valoare şi în siguranţă a fondului construit prin atingerea următoarelor ţinte:</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 gestionarea eficientă a patrimoniului construit</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 punerea in siguranţă a domeniului public</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 ridicarea conştiinţei civice a cetăţenilor care deţin proprietăţi</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 asigurarea cultivarii terenurilor , amenajarea si folosirea lor pentru productia agricola</w:t>
      </w:r>
    </w:p>
    <w:p w:rsidR="0067775F" w:rsidRPr="0089144C" w:rsidRDefault="0067775F" w:rsidP="0067775F">
      <w:pPr>
        <w:pStyle w:val="ListParagraph"/>
        <w:spacing w:after="0" w:line="240" w:lineRule="auto"/>
        <w:jc w:val="both"/>
        <w:rPr>
          <w:rFonts w:ascii="Verdana" w:hAnsi="Verdana"/>
          <w:sz w:val="24"/>
          <w:lang w:val="ro-RO"/>
        </w:rPr>
      </w:pPr>
    </w:p>
    <w:p w:rsidR="0089144C" w:rsidRDefault="0089144C" w:rsidP="0067775F">
      <w:pPr>
        <w:pStyle w:val="ListParagraph"/>
        <w:spacing w:after="0" w:line="240" w:lineRule="auto"/>
        <w:jc w:val="both"/>
        <w:rPr>
          <w:rFonts w:ascii="Verdana" w:hAnsi="Verdana"/>
          <w:sz w:val="24"/>
          <w:lang w:val="ro-RO"/>
        </w:rPr>
      </w:pPr>
      <w:r w:rsidRPr="0067775F">
        <w:rPr>
          <w:rFonts w:ascii="Verdana" w:hAnsi="Verdana"/>
          <w:b/>
          <w:sz w:val="24"/>
          <w:lang w:val="ro-RO"/>
        </w:rPr>
        <w:t>ART.2. OBIECTUL REGULAMENTULUI</w:t>
      </w:r>
      <w:r w:rsidRPr="0089144C">
        <w:rPr>
          <w:rFonts w:ascii="Verdana" w:hAnsi="Verdana"/>
          <w:sz w:val="24"/>
          <w:lang w:val="ro-RO"/>
        </w:rPr>
        <w:t xml:space="preserve"> </w:t>
      </w:r>
      <w:r w:rsidRPr="00542041">
        <w:rPr>
          <w:rFonts w:ascii="Verdana" w:hAnsi="Verdana"/>
          <w:lang w:val="ro-RO"/>
        </w:rPr>
        <w:t xml:space="preserve">este elaborarea cadrului legal local privind condiţiile de majorare a impozitelor cu pana la </w:t>
      </w:r>
      <w:r w:rsidRPr="00542041">
        <w:rPr>
          <w:rFonts w:ascii="Verdana" w:hAnsi="Verdana"/>
          <w:lang w:val="ro-RO"/>
        </w:rPr>
        <w:t>500</w:t>
      </w:r>
      <w:r w:rsidRPr="00542041">
        <w:rPr>
          <w:rFonts w:ascii="Verdana" w:hAnsi="Verdana"/>
          <w:lang w:val="ro-RO"/>
        </w:rPr>
        <w:t xml:space="preserve">% pe clădirile şi terenurile neîngrijite din intravilanul </w:t>
      </w:r>
      <w:r w:rsidRPr="00542041">
        <w:rPr>
          <w:rFonts w:ascii="Verdana" w:hAnsi="Verdana"/>
          <w:lang w:val="ro-RO"/>
        </w:rPr>
        <w:t>comunei Gura Văii</w:t>
      </w:r>
      <w:r w:rsidRPr="0089144C">
        <w:rPr>
          <w:rFonts w:ascii="Verdana" w:hAnsi="Verdana"/>
          <w:sz w:val="24"/>
          <w:lang w:val="ro-RO"/>
        </w:rPr>
        <w:t>.</w:t>
      </w:r>
    </w:p>
    <w:p w:rsidR="0067775F" w:rsidRPr="0089144C" w:rsidRDefault="0067775F" w:rsidP="0067775F">
      <w:pPr>
        <w:pStyle w:val="ListParagraph"/>
        <w:spacing w:after="0" w:line="240" w:lineRule="auto"/>
        <w:jc w:val="both"/>
        <w:rPr>
          <w:rFonts w:ascii="Verdana" w:hAnsi="Verdana"/>
          <w:sz w:val="24"/>
          <w:lang w:val="ro-RO"/>
        </w:rPr>
      </w:pPr>
    </w:p>
    <w:p w:rsidR="0089144C" w:rsidRPr="0067775F" w:rsidRDefault="0089144C" w:rsidP="0067775F">
      <w:pPr>
        <w:pStyle w:val="ListParagraph"/>
        <w:spacing w:after="0" w:line="240" w:lineRule="auto"/>
        <w:jc w:val="both"/>
        <w:rPr>
          <w:rFonts w:ascii="Verdana" w:hAnsi="Verdana"/>
          <w:b/>
          <w:sz w:val="24"/>
          <w:lang w:val="ro-RO"/>
        </w:rPr>
      </w:pPr>
      <w:r w:rsidRPr="0067775F">
        <w:rPr>
          <w:rFonts w:ascii="Verdana" w:hAnsi="Verdana"/>
          <w:b/>
          <w:sz w:val="24"/>
          <w:lang w:val="ro-RO"/>
        </w:rPr>
        <w:t>ART.3. CADRUL LEGAL</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CODUL CIVIL</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Ordonanta de Guvern nr.21/2002(actualizata)privind gospodarirea localitatilor urbane si rurale</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Ordonanta de guvern nr.2/2001 privind regimul juridic al contraventiilor, actualizata</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Legea nr. 50/1991 privind autorizarea executării lucrărilor de construcţii, republicata</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Legea nr. 350/2001</w:t>
      </w:r>
      <w:r w:rsidRPr="00542041">
        <w:rPr>
          <w:rFonts w:ascii="Verdana" w:hAnsi="Verdana"/>
          <w:lang w:val="ro-RO"/>
        </w:rPr>
        <w:t xml:space="preserve"> </w:t>
      </w:r>
      <w:r w:rsidRPr="00542041">
        <w:rPr>
          <w:rFonts w:ascii="Verdana" w:hAnsi="Verdana"/>
          <w:lang w:val="ro-RO"/>
        </w:rPr>
        <w:t>actualizată privind amenajarea teritoriului şi urbanismul;</w:t>
      </w:r>
    </w:p>
    <w:p w:rsidR="0089144C" w:rsidRPr="00542041" w:rsidRDefault="0089144C" w:rsidP="0067775F">
      <w:pPr>
        <w:pStyle w:val="ListParagraph"/>
        <w:spacing w:after="0" w:line="240" w:lineRule="auto"/>
        <w:jc w:val="both"/>
        <w:rPr>
          <w:rFonts w:ascii="Verdana" w:hAnsi="Verdana"/>
          <w:lang w:val="ro-RO"/>
        </w:rPr>
      </w:pPr>
      <w:r w:rsidRPr="00542041">
        <w:rPr>
          <w:rFonts w:ascii="Verdana" w:hAnsi="Verdana"/>
          <w:lang w:val="ro-RO"/>
        </w:rPr>
        <w:t>-</w:t>
      </w:r>
      <w:r w:rsidRPr="00542041">
        <w:rPr>
          <w:rFonts w:ascii="Verdana" w:hAnsi="Verdana"/>
          <w:lang w:val="ro-RO"/>
        </w:rPr>
        <w:t>Legea nr. 227/2015 privind Codul fiscal cu modificările şi completările ulterioare;</w:t>
      </w:r>
    </w:p>
    <w:p w:rsidR="00216B2D" w:rsidRPr="00542041" w:rsidRDefault="0089144C" w:rsidP="0067775F">
      <w:pPr>
        <w:spacing w:after="0" w:line="240" w:lineRule="auto"/>
        <w:ind w:left="360"/>
        <w:jc w:val="both"/>
        <w:rPr>
          <w:rFonts w:ascii="Verdana" w:hAnsi="Verdana"/>
          <w:lang w:val="ro-RO"/>
        </w:rPr>
      </w:pPr>
      <w:r w:rsidRPr="00542041">
        <w:rPr>
          <w:rFonts w:ascii="Verdana" w:hAnsi="Verdana"/>
          <w:sz w:val="20"/>
          <w:lang w:val="ro-RO"/>
        </w:rPr>
        <w:t xml:space="preserve">    - </w:t>
      </w:r>
      <w:r w:rsidRPr="00542041">
        <w:rPr>
          <w:rFonts w:ascii="Verdana" w:hAnsi="Verdana"/>
          <w:lang w:val="ro-RO"/>
        </w:rPr>
        <w:t>OUG 57/2019 privind Codul Administrativ.</w:t>
      </w:r>
    </w:p>
    <w:p w:rsidR="0067775F" w:rsidRDefault="0067775F" w:rsidP="0067775F">
      <w:pPr>
        <w:spacing w:after="0" w:line="240" w:lineRule="auto"/>
        <w:ind w:left="360"/>
        <w:jc w:val="both"/>
        <w:rPr>
          <w:rFonts w:ascii="Verdana" w:hAnsi="Verdana"/>
          <w:sz w:val="24"/>
          <w:lang w:val="ro-RO"/>
        </w:rPr>
      </w:pPr>
    </w:p>
    <w:p w:rsidR="0089144C" w:rsidRPr="0067775F" w:rsidRDefault="0089144C" w:rsidP="0067775F">
      <w:pPr>
        <w:spacing w:after="0" w:line="240" w:lineRule="auto"/>
        <w:ind w:left="360"/>
        <w:jc w:val="both"/>
        <w:rPr>
          <w:rFonts w:ascii="Verdana" w:hAnsi="Verdana"/>
          <w:b/>
          <w:sz w:val="24"/>
          <w:lang w:val="ro-RO"/>
        </w:rPr>
      </w:pPr>
      <w:r w:rsidRPr="0067775F">
        <w:rPr>
          <w:rFonts w:ascii="Verdana" w:hAnsi="Verdana"/>
          <w:b/>
          <w:sz w:val="24"/>
          <w:lang w:val="ro-RO"/>
        </w:rPr>
        <w:t>ART.4. DEFINIŢII</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Termenii utilizaţi în cuprinsul prezentului regulament au următorul înţeles:</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lastRenderedPageBreak/>
        <w:t xml:space="preserve">- </w:t>
      </w:r>
      <w:r w:rsidRPr="00542041">
        <w:rPr>
          <w:rFonts w:ascii="Verdana" w:hAnsi="Verdana"/>
          <w:b/>
          <w:lang w:val="ro-RO"/>
        </w:rPr>
        <w:t>ÎNTREŢINERE CURENTA</w:t>
      </w:r>
      <w:r w:rsidRPr="00542041">
        <w:rPr>
          <w:rFonts w:ascii="Verdana" w:hAnsi="Verdana"/>
          <w:lang w:val="ro-RO"/>
        </w:rPr>
        <w:t xml:space="preserve"> - set de lucrări în vederea păstrării în bune condiţii, pentru a face să dureze aspectul şi stabilitatea unei construcţii, fără afectarea integrităţii acesteia;</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MONUMENT</w:t>
      </w:r>
      <w:r w:rsidRPr="00542041">
        <w:rPr>
          <w:rFonts w:ascii="Verdana" w:hAnsi="Verdana"/>
          <w:lang w:val="ro-RO"/>
        </w:rPr>
        <w:t xml:space="preserve"> - construcţie sau parte de construcţie, împreună cu instalaţiile, componentele artistice, elementele de mobilare interioară sau exterioară care fac parte integrantă din acestea, precum şi lucrări artistice comemorative, funerare, de for public, împreună cu terenul aferent delimitat topografic, care constituie mărturii cultural-istorice semnificative din punct de vedere arhitectural, arheologic, istoric, artistic, etnografic, religios, social, ştiinţific sau tehnic;</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b/>
          <w:lang w:val="ro-RO"/>
        </w:rPr>
        <w:t>- NOTA TEHNICA DE CONSTATARE</w:t>
      </w:r>
      <w:r w:rsidRPr="00542041">
        <w:rPr>
          <w:rFonts w:ascii="Verdana" w:hAnsi="Verdana"/>
          <w:lang w:val="ro-RO"/>
        </w:rPr>
        <w:t xml:space="preserve"> - document întocmit de Politia Locala </w:t>
      </w:r>
      <w:r w:rsidRPr="00542041">
        <w:rPr>
          <w:rFonts w:ascii="Verdana" w:hAnsi="Verdana"/>
          <w:lang w:val="ro-RO"/>
        </w:rPr>
        <w:t>Gura Văii</w:t>
      </w:r>
      <w:r w:rsidRPr="00542041">
        <w:rPr>
          <w:rFonts w:ascii="Verdana" w:hAnsi="Verdana"/>
          <w:lang w:val="ro-RO"/>
        </w:rPr>
        <w:t xml:space="preserve"> sau reprezentanţii Primariei numiti prin dispozitia primarului, care constă in evaluarea vizuală a stării</w:t>
      </w:r>
      <w:r w:rsidRPr="00542041">
        <w:rPr>
          <w:sz w:val="20"/>
        </w:rPr>
        <w:t xml:space="preserve"> </w:t>
      </w:r>
      <w:r w:rsidRPr="00542041">
        <w:rPr>
          <w:rFonts w:ascii="Verdana" w:hAnsi="Verdana"/>
          <w:lang w:val="ro-RO"/>
        </w:rPr>
        <w:t>tehnice a elementelor clădirii, vizibilă dinspre domeniul public, prin care se stabileşte încadrarea clădirii în una dintre cele 4 categorii: foarte bună, bună, satisfăcătoare si nesatisfăcătoare si a terenurilor neîngrijite.</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PROPRIETARI</w:t>
      </w:r>
      <w:r w:rsidRPr="00542041">
        <w:rPr>
          <w:rFonts w:ascii="Verdana" w:hAnsi="Verdana"/>
          <w:lang w:val="ro-RO"/>
        </w:rPr>
        <w:t xml:space="preserve"> - persoane fizice şi juridice de drept public sau privat care deţin în proprietate clădiri si terenuri;</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REPARAŢII CAPITALE</w:t>
      </w:r>
      <w:r w:rsidRPr="00542041">
        <w:rPr>
          <w:rFonts w:ascii="Verdana" w:hAnsi="Verdana"/>
          <w:lang w:val="ro-RO"/>
        </w:rPr>
        <w:t xml:space="preserve"> - înlocuirea sau refacerea parţială sau completă a unor elemente principale ale construcţiei;</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REPARAŢII CURENTE</w:t>
      </w:r>
      <w:r w:rsidRPr="00542041">
        <w:rPr>
          <w:rFonts w:ascii="Verdana" w:hAnsi="Verdana"/>
          <w:lang w:val="ro-RO"/>
        </w:rPr>
        <w:t xml:space="preserve"> - ansamblu de operaţii efectuate asupra unei construcţii în vederea menţinerii sau readucerii în stare de normală de funcţionare, fără afectarea stabilităţii şi integrităţii acesteia;</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REABILITARE</w:t>
      </w:r>
      <w:r w:rsidRPr="00542041">
        <w:rPr>
          <w:rFonts w:ascii="Verdana" w:hAnsi="Verdana"/>
          <w:lang w:val="ro-RO"/>
        </w:rPr>
        <w:t xml:space="preserve"> - orice fel de lucrări de intervenţii necesare pentru îmbunătăţirea performantelor de siguranţa si exploatare a construcţiilor existente inclusiv a instalaţiilor aferente, in scopul prelungirii duratei de exploatare prin aducerea acestora la nivelul cerinţelor esenţiale de calitate prevăzute de lege;</w:t>
      </w:r>
    </w:p>
    <w:p w:rsidR="0089144C" w:rsidRPr="00542041" w:rsidRDefault="0089144C" w:rsidP="0067775F">
      <w:pPr>
        <w:spacing w:after="0" w:line="240" w:lineRule="auto"/>
        <w:ind w:left="360"/>
        <w:jc w:val="both"/>
        <w:rPr>
          <w:rFonts w:ascii="Verdana" w:hAnsi="Verdana"/>
          <w:lang w:val="ro-RO"/>
        </w:rPr>
      </w:pPr>
      <w:r w:rsidRPr="00542041">
        <w:rPr>
          <w:rFonts w:ascii="Verdana" w:hAnsi="Verdana"/>
          <w:lang w:val="ro-RO"/>
        </w:rPr>
        <w:t xml:space="preserve">- </w:t>
      </w:r>
      <w:r w:rsidRPr="00542041">
        <w:rPr>
          <w:rFonts w:ascii="Verdana" w:hAnsi="Verdana"/>
          <w:b/>
          <w:lang w:val="ro-RO"/>
        </w:rPr>
        <w:t>TRONSON DE CLĂDIRE</w:t>
      </w:r>
      <w:r w:rsidRPr="00542041">
        <w:rPr>
          <w:rFonts w:ascii="Verdana" w:hAnsi="Verdana"/>
          <w:lang w:val="ro-RO"/>
        </w:rPr>
        <w:t>- parte dintr-o clădire , separată prin rost, având aceleaşi caracteristici constructive;</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 xml:space="preserve">- </w:t>
      </w:r>
      <w:r w:rsidRPr="0067775F">
        <w:rPr>
          <w:rFonts w:ascii="Verdana" w:hAnsi="Verdana"/>
          <w:b/>
          <w:lang w:val="ro-RO"/>
        </w:rPr>
        <w:t>TEREN NEÎNGRIJIT</w:t>
      </w:r>
      <w:r w:rsidRPr="0067775F">
        <w:rPr>
          <w:rFonts w:ascii="Verdana" w:hAnsi="Verdana"/>
          <w:lang w:val="ro-RO"/>
        </w:rPr>
        <w:t xml:space="preserve"> - reprezintă terenul care deşi se află intr-un cartier construit si locuit, unde este ocupat de clădiri şi, de obicei, este neîngrădit, pe care nu s-au efectuat lucrări de prelucrare a solului, nu a fost cultivat sau amenajai peisagistic si pe care de regulă extinsă abandonate deşeuri (din constructii, vegetale, etc), pe care este crescută vegetaţie necultivată din abundenţă (buruiană);</w:t>
      </w: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 xml:space="preserve">- </w:t>
      </w:r>
      <w:r w:rsidRPr="0067775F">
        <w:rPr>
          <w:rFonts w:ascii="Verdana" w:hAnsi="Verdana"/>
          <w:b/>
          <w:lang w:val="ro-RO"/>
        </w:rPr>
        <w:t>TERENURILE CU DESTINAŢIE AGRICOLĂ</w:t>
      </w:r>
      <w:r w:rsidRPr="0067775F">
        <w:rPr>
          <w:rFonts w:ascii="Verdana" w:hAnsi="Verdana"/>
          <w:lang w:val="ro-RO"/>
        </w:rPr>
        <w:t>: terenurile agricole productive - arabile, viile, livezile, pepinierele viticole, pomicole, păşunile, fâneţele, serele,solariile, răsadniţele şi altele asemenea - cele cu vegetaţie forestieră, dacă nu fac parte din aranjamentele silvice, păşunile împădurite, cele ocupate cu construcţii şi instalaţii agrozootehnice, amenajările piscicole şi de îmbunătăţiri funciare, drumurile tehnologice şi de exploatare agricolă, platformele şi spaţiile de depozitare care servesc nevoilor producţiei agricole şi terenurilor neproductive care pot fi amenajate şi folosite pentru producţia agricolă.</w:t>
      </w:r>
    </w:p>
    <w:p w:rsidR="0067775F" w:rsidRPr="0067775F"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t>CAP.2 DOMENIUL TERITORIAL DE APLICABILITATE</w:t>
      </w:r>
    </w:p>
    <w:p w:rsidR="0067775F" w:rsidRPr="0067775F" w:rsidRDefault="0067775F" w:rsidP="0067775F">
      <w:pPr>
        <w:spacing w:after="0" w:line="240" w:lineRule="auto"/>
        <w:ind w:left="360"/>
        <w:jc w:val="both"/>
        <w:rPr>
          <w:rFonts w:ascii="Verdana" w:hAnsi="Verdana"/>
          <w:b/>
          <w:lang w:val="ro-RO"/>
        </w:rPr>
      </w:pP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ART.</w:t>
      </w:r>
      <w:r w:rsidRPr="0067775F">
        <w:t xml:space="preserve"> </w:t>
      </w:r>
      <w:r w:rsidRPr="0067775F">
        <w:rPr>
          <w:rFonts w:ascii="Verdana" w:hAnsi="Verdana"/>
          <w:lang w:val="ro-RO"/>
        </w:rPr>
        <w:t xml:space="preserve">5. Prezentul regulament se aplică tuturor clădirilor si terenurilor neîngrijite din </w:t>
      </w:r>
      <w:r>
        <w:rPr>
          <w:rFonts w:ascii="Verdana" w:hAnsi="Verdana"/>
          <w:lang w:val="ro-RO"/>
        </w:rPr>
        <w:t>Comuna Gura Văii</w:t>
      </w:r>
      <w:r w:rsidRPr="0067775F">
        <w:rPr>
          <w:rFonts w:ascii="Verdana" w:hAnsi="Verdana"/>
          <w:lang w:val="ro-RO"/>
        </w:rPr>
        <w:t xml:space="preserve"> si terenurilor agricole necultivate timp de doi ani consecutiv.</w:t>
      </w:r>
    </w:p>
    <w:p w:rsidR="0067775F" w:rsidRDefault="0067775F" w:rsidP="0067775F">
      <w:pPr>
        <w:spacing w:after="0" w:line="240" w:lineRule="auto"/>
        <w:ind w:left="360"/>
        <w:jc w:val="both"/>
        <w:rPr>
          <w:rFonts w:ascii="Verdana" w:hAnsi="Verdana"/>
          <w:lang w:val="ro-RO"/>
        </w:rPr>
      </w:pPr>
    </w:p>
    <w:p w:rsidR="0067775F" w:rsidRPr="0067775F"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lastRenderedPageBreak/>
        <w:t>CAP.3. PREVEDERI SPECIFICE</w:t>
      </w:r>
    </w:p>
    <w:p w:rsidR="0067775F" w:rsidRPr="0067775F" w:rsidRDefault="0067775F" w:rsidP="0067775F">
      <w:pPr>
        <w:spacing w:after="0" w:line="240" w:lineRule="auto"/>
        <w:ind w:left="360"/>
        <w:jc w:val="both"/>
        <w:rPr>
          <w:rFonts w:ascii="Verdana" w:hAnsi="Verdana"/>
          <w:b/>
          <w:lang w:val="ro-RO"/>
        </w:rPr>
      </w:pP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ART.6. Proprietarii clădirilor, persoane fizice sau juridice, sunt obligaţi, conform reglementărilor legale in vigoare, să asigure starea tehnică corespunzătoare a acestora, prin efectuarea lucrărilor de consolidare, restaurare, reparaţii curente si de întreţinere. Proprietarii terenurilor din intravilan, persoane fizice sau juridice, sunt obligaţi, conform reglementărilor legale in vigoare, sa întreţină aceste terenuri, sa efectueze lucrări specifice pentru indepărtarea vegetaţiei necultivate si să nu permită depozitarea deşeurilor. Proprietarii terenurilor agricole, persoane fizice sau juridice, sunt</w:t>
      </w:r>
      <w:r w:rsidRPr="0067775F">
        <w:t xml:space="preserve"> </w:t>
      </w:r>
      <w:r w:rsidRPr="0067775F">
        <w:rPr>
          <w:rFonts w:ascii="Verdana" w:hAnsi="Verdana"/>
          <w:lang w:val="ro-RO"/>
        </w:rPr>
        <w:t>obligaţi, conform reglementărilor legale in vigoare, să asigure cultivarea acestora precum si protecţia solului.</w:t>
      </w:r>
    </w:p>
    <w:p w:rsidR="0067775F" w:rsidRPr="0067775F" w:rsidRDefault="0067775F" w:rsidP="0067775F">
      <w:pPr>
        <w:spacing w:after="0" w:line="240" w:lineRule="auto"/>
        <w:ind w:left="360"/>
        <w:jc w:val="both"/>
        <w:rPr>
          <w:rFonts w:ascii="Verdana" w:hAnsi="Verdana"/>
          <w:lang w:val="ro-RO"/>
        </w:rPr>
      </w:pP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 xml:space="preserve">ART.7. Starea tehnică corespunzătoare/necorespunzătoare este stabilită de către reprezentanţii imputerniciţi ai </w:t>
      </w:r>
      <w:r>
        <w:rPr>
          <w:rFonts w:ascii="Verdana" w:hAnsi="Verdana"/>
          <w:lang w:val="ro-RO"/>
        </w:rPr>
        <w:t>comunei Gura Văii</w:t>
      </w:r>
      <w:r w:rsidRPr="0067775F">
        <w:rPr>
          <w:rFonts w:ascii="Verdana" w:hAnsi="Verdana"/>
          <w:lang w:val="ro-RO"/>
        </w:rPr>
        <w:t>, în urma întocmirii "Notei tehnice de constatare".</w:t>
      </w:r>
    </w:p>
    <w:p w:rsidR="0067775F" w:rsidRPr="0067775F" w:rsidRDefault="0067775F" w:rsidP="0067775F">
      <w:pPr>
        <w:spacing w:after="0" w:line="240" w:lineRule="auto"/>
        <w:ind w:left="360"/>
        <w:jc w:val="both"/>
        <w:rPr>
          <w:rFonts w:ascii="Verdana" w:hAnsi="Verdana"/>
          <w:lang w:val="ro-RO"/>
        </w:rPr>
      </w:pP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ART.8. Clădirile/terenurile care intră sub incidenţa acestui regulament, sunt cele incadrate la stare necorespunzătoare. Se stabileşte următoarea clasificare a clădirilor/terenurilor, in raport cu starea tehnică a clădirii/terenului atestată pe baza Notei tehnice de constatare:</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a. clădiri cu stare tehnică a clădirii nesatisfacătoare (stare necorespunzătoare)</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b. terenuri neingrijite (stare necorespunzătoare)</w:t>
      </w: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c. terenuri agricole necultivate timp de doi ani consecutiv ( stare necorespunzătoare)</w:t>
      </w:r>
    </w:p>
    <w:p w:rsidR="0067775F" w:rsidRPr="0067775F"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t>CAP.4 PROCEDURA DE LUCRU PENTRU IDENTIFICAREA CLĂDIRILOR NEÎNGRIJITE</w:t>
      </w:r>
    </w:p>
    <w:p w:rsidR="0067775F" w:rsidRPr="0067775F" w:rsidRDefault="0067775F" w:rsidP="0067775F">
      <w:pPr>
        <w:spacing w:after="0" w:line="240" w:lineRule="auto"/>
        <w:ind w:left="360"/>
        <w:jc w:val="both"/>
        <w:rPr>
          <w:rFonts w:ascii="Verdana" w:hAnsi="Verdana"/>
          <w:b/>
          <w:lang w:val="ro-RO"/>
        </w:rPr>
      </w:pP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ART.9. Identificarea clădirilor neîngrijite privind starea tehnică se va face în urma verificărilor şi constatărilor în teren, prin completarea Notei tehnice de constatare a stării clădirilor,</w:t>
      </w:r>
    </w:p>
    <w:p w:rsidR="0067775F" w:rsidRPr="0067775F" w:rsidRDefault="0067775F" w:rsidP="0067775F">
      <w:pPr>
        <w:spacing w:after="0" w:line="240" w:lineRule="auto"/>
        <w:ind w:left="360"/>
        <w:jc w:val="both"/>
        <w:rPr>
          <w:rFonts w:ascii="Verdana" w:hAnsi="Verdana"/>
          <w:lang w:val="ro-RO"/>
        </w:rPr>
      </w:pP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 xml:space="preserve">ART.10. Nota tehnică de constatare a stării clădirilor se întocmeşte de către Politia Locala </w:t>
      </w:r>
      <w:r>
        <w:rPr>
          <w:rFonts w:ascii="Verdana" w:hAnsi="Verdana"/>
          <w:lang w:val="ro-RO"/>
        </w:rPr>
        <w:t>Gura Văii</w:t>
      </w:r>
      <w:r w:rsidRPr="0067775F">
        <w:rPr>
          <w:rFonts w:ascii="Verdana" w:hAnsi="Verdana"/>
          <w:lang w:val="ro-RO"/>
        </w:rPr>
        <w:t xml:space="preserve"> sau reprezentanţii primariei numiti prin dispozitie de catre primar.</w:t>
      </w:r>
    </w:p>
    <w:p w:rsidR="0067775F" w:rsidRPr="0067775F" w:rsidRDefault="0067775F" w:rsidP="0067775F">
      <w:pPr>
        <w:spacing w:after="0" w:line="240" w:lineRule="auto"/>
        <w:ind w:left="360"/>
        <w:jc w:val="both"/>
        <w:rPr>
          <w:rFonts w:ascii="Verdana" w:hAnsi="Verdana"/>
          <w:lang w:val="ro-RO"/>
        </w:rPr>
      </w:pPr>
    </w:p>
    <w:p w:rsidR="0067775F" w:rsidRDefault="00542041" w:rsidP="0067775F">
      <w:pPr>
        <w:spacing w:after="0" w:line="240" w:lineRule="auto"/>
        <w:ind w:left="360"/>
        <w:jc w:val="both"/>
        <w:rPr>
          <w:rFonts w:ascii="Verdana" w:hAnsi="Verdana"/>
          <w:lang w:val="ro-RO"/>
        </w:rPr>
      </w:pPr>
      <w:r>
        <w:rPr>
          <w:rFonts w:ascii="Verdana" w:hAnsi="Verdana"/>
          <w:lang w:val="ro-RO"/>
        </w:rPr>
        <w:t>ART.11</w:t>
      </w:r>
      <w:r w:rsidR="0067775F" w:rsidRPr="0067775F">
        <w:rPr>
          <w:rFonts w:ascii="Verdana" w:hAnsi="Verdana"/>
          <w:lang w:val="ro-RO"/>
        </w:rPr>
        <w:t>. Incadrarea clădirilor in categoria clădiri neîngrijite se va face conform următoarei metodologii:</w:t>
      </w:r>
    </w:p>
    <w:p w:rsidR="0067775F" w:rsidRPr="0067775F" w:rsidRDefault="0067775F" w:rsidP="0067775F">
      <w:pPr>
        <w:spacing w:after="0" w:line="240" w:lineRule="auto"/>
        <w:ind w:left="360"/>
        <w:jc w:val="both"/>
        <w:rPr>
          <w:rFonts w:ascii="Verdana" w:hAnsi="Verdana"/>
          <w:lang w:val="ro-RO"/>
        </w:rPr>
      </w:pPr>
      <w:r w:rsidRPr="0067775F">
        <w:t xml:space="preserve"> </w:t>
      </w:r>
      <w:r w:rsidRPr="0067775F">
        <w:rPr>
          <w:rFonts w:ascii="Verdana" w:hAnsi="Verdana"/>
          <w:lang w:val="ro-RO"/>
        </w:rPr>
        <w:t>a. Clădirea neîngrijită este clădirea care prezintă degradări cu stare tehnică necorespunzătoare.</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b. Fac excepţie de la majorarea impozitului pe clădirile neîngrijite pentru care proprietarii deţin Autorizaţie de Construire valabilă, în vederea construirii/renovării/demolării şi au anunţat la Inspectoratul Judeţean în Construcţii şi la Primărie, începerea lucrărilor.</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c. In vederea identificării clădirilor neîngrijite, se imputernicesc angajaţii primariei sau Politia Locala să efectueze verificări pe raza unităţii administrativ-teritoriale, şi să întocmească nota tehnică de constatare a stării tehnice a clădirii.</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lastRenderedPageBreak/>
        <w:t>d. După identificarea şi evaluarea clădirii, prin grija persoanelor prevăzute la lit. C, proprietarul va fi somat ca în termen de 6 luni să efectueze lucrările de întreţinere necesare şi să menţină în continuare clădirea în stare de îngrijire.</w:t>
      </w:r>
    </w:p>
    <w:p w:rsidR="0067775F" w:rsidRPr="0067775F" w:rsidRDefault="0067775F" w:rsidP="0067775F">
      <w:pPr>
        <w:spacing w:after="0" w:line="240" w:lineRule="auto"/>
        <w:ind w:left="360"/>
        <w:jc w:val="both"/>
        <w:rPr>
          <w:rFonts w:ascii="Verdana" w:hAnsi="Verdana"/>
          <w:lang w:val="ro-RO"/>
        </w:rPr>
      </w:pPr>
      <w:r w:rsidRPr="0067775F">
        <w:rPr>
          <w:rFonts w:ascii="Verdana" w:hAnsi="Verdana"/>
          <w:lang w:val="ro-RO"/>
        </w:rPr>
        <w:t>e. Dacă în interiorul termenului de 6 luni, proprietarul clădirii s-a conformat somaţiei, se încheie proces-verbal de conformitate.</w:t>
      </w:r>
    </w:p>
    <w:p w:rsidR="0067775F" w:rsidRDefault="0067775F" w:rsidP="0067775F">
      <w:pPr>
        <w:spacing w:after="0" w:line="240" w:lineRule="auto"/>
        <w:ind w:left="360"/>
        <w:jc w:val="both"/>
        <w:rPr>
          <w:rFonts w:ascii="Verdana" w:hAnsi="Verdana"/>
          <w:lang w:val="ro-RO"/>
        </w:rPr>
      </w:pPr>
      <w:r w:rsidRPr="0067775F">
        <w:rPr>
          <w:rFonts w:ascii="Verdana" w:hAnsi="Verdana"/>
          <w:lang w:val="ro-RO"/>
        </w:rPr>
        <w:t>f. Dacă după expirarea termenului acordat, se constată în teren, că proprietarul nu a efectuat lucrările de întreţinere necesare, persoanele prevăzute la lit. C vor încheia o notă de constatare în care va fi consemnată menţinerea clădirii în categoria celor considerate, conform prezentului Regulament, ca fiind neîngrijite. In acest caz, Nota de constatare cu propunerea de majorare a impozitului si celelalte documente vor fi</w:t>
      </w:r>
      <w:r w:rsidRPr="0067775F">
        <w:t xml:space="preserve"> </w:t>
      </w:r>
      <w:r w:rsidRPr="0067775F">
        <w:rPr>
          <w:rFonts w:ascii="Verdana" w:hAnsi="Verdana"/>
          <w:lang w:val="ro-RO"/>
        </w:rPr>
        <w:t xml:space="preserve">transmise, Compartimentului </w:t>
      </w:r>
      <w:r>
        <w:rPr>
          <w:rFonts w:ascii="Verdana" w:hAnsi="Verdana"/>
          <w:lang w:val="ro-RO"/>
        </w:rPr>
        <w:t>Colectare Venituri, Casierie si evidența patrimoniului</w:t>
      </w:r>
      <w:r w:rsidRPr="0067775F">
        <w:rPr>
          <w:rFonts w:ascii="Verdana" w:hAnsi="Verdana"/>
          <w:lang w:val="ro-RO"/>
        </w:rPr>
        <w:t xml:space="preserve"> care va promova proiectul de hotărâre de majorare a impozitului pentru imobilul respectiv.</w:t>
      </w:r>
    </w:p>
    <w:p w:rsidR="0067775F" w:rsidRPr="0067775F"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t>CAP.5. PROCEDURA DE LUCRU PENTRU IDENTIFICAREA TERENURILOR NEÎNGRIJITE</w:t>
      </w:r>
    </w:p>
    <w:p w:rsidR="0067775F" w:rsidRPr="0089144C"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ART.12. Identificarea terenurilor neîngrijite situate in intravilan cu stare tehnică necorespunzătoare se va face în urma verificărilor şi constatărilor în teren prin completarea Notei tehnice de constatare a stării terenurilor.</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ART.13. Nota tehnică de constatare a stării terenurilor se întocmeşte de către Politia Locala </w:t>
      </w:r>
      <w:r w:rsidRPr="00542041">
        <w:rPr>
          <w:rFonts w:ascii="Verdana" w:hAnsi="Verdana"/>
          <w:lang w:val="ro-RO"/>
        </w:rPr>
        <w:t>Gura Văii</w:t>
      </w:r>
      <w:r w:rsidRPr="00542041">
        <w:rPr>
          <w:rFonts w:ascii="Verdana" w:hAnsi="Verdana"/>
          <w:lang w:val="ro-RO"/>
        </w:rPr>
        <w:t xml:space="preserve"> sau reprezentanţii primariei numiti prin dispozitia primarului.</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ART.14. Incadrarea terenurilor situate în intravilan, în categoria terenurilor neîngrijite se va face conform următoarei metodologii:</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 Terenul neîngrijit reprezintă terenul care deşi se află într-un cartier construit şi locuit, nu este ocupat de clădiri şi, de obicei, este neîngrădit, pe care nu s-au efectuat lucrări de prelucrare a solului, nu a fost cultivat sau amenajat peisagistic sau pe care sunt abandonate deşeuri (din construcţii, vegetale, gunoaie,orice tip de depozite necontrolate, etc).</w:t>
      </w:r>
    </w:p>
    <w:p w:rsidR="0067775F" w:rsidRPr="00542041" w:rsidRDefault="0067775F" w:rsidP="0067775F">
      <w:pPr>
        <w:spacing w:after="0" w:line="240" w:lineRule="auto"/>
        <w:ind w:left="360"/>
        <w:jc w:val="both"/>
        <w:rPr>
          <w:rFonts w:ascii="Verdana" w:hAnsi="Verdana"/>
          <w:lang w:val="ro-RO"/>
        </w:rPr>
      </w:pPr>
    </w:p>
    <w:p w:rsidR="00216B2D" w:rsidRPr="00542041" w:rsidRDefault="0067775F" w:rsidP="0067775F">
      <w:pPr>
        <w:spacing w:after="0" w:line="240" w:lineRule="auto"/>
        <w:ind w:left="360"/>
        <w:jc w:val="both"/>
        <w:rPr>
          <w:rFonts w:ascii="Verdana" w:hAnsi="Verdana"/>
          <w:lang w:val="ro-RO"/>
        </w:rPr>
      </w:pPr>
      <w:r w:rsidRPr="00542041">
        <w:rPr>
          <w:rFonts w:ascii="Verdana" w:hAnsi="Verdana"/>
          <w:lang w:val="ro-RO"/>
        </w:rPr>
        <w:t>b. Fac excepţie de la majorarea impozitarii terenurile neîngrijite pentru care proprietarii deţin Autorizatii de Constructii valabile, în vederea construirii/amenajării terenului şi au anunţat la Inspectoratul Judeţean în Construcţii şi la Primărie,începerea lucrărilor.</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c. În vederea identificării terenurilor din intravilan, care intră în categoria terenurilor neîngrijite, se imputernicesc angajaţii Primariei, să efectueze verificări pe raza unităţii administrativ</w:t>
      </w:r>
      <w:r w:rsidR="00542041" w:rsidRPr="00542041">
        <w:rPr>
          <w:rFonts w:ascii="Verdana" w:hAnsi="Verdana"/>
          <w:lang w:val="ro-RO"/>
        </w:rPr>
        <w:t>-</w:t>
      </w:r>
      <w:r w:rsidRPr="00542041">
        <w:rPr>
          <w:rFonts w:ascii="Verdana" w:hAnsi="Verdana"/>
          <w:lang w:val="ro-RO"/>
        </w:rPr>
        <w:t>teritorial, şi să întocmească nota tehnică de constatare a stării terenurilor.</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d. După identificarea şi evaluarea terenului, prin grija persoanelor prevăzute la lit.C, proprietarul va fi somat ca în termen de 30 zile să efectueze lucrările de întreţinere necesare (îngrădire, cosire, igienizare,după caz) şi să îl menţină în continuare în stare de îngrijire.</w:t>
      </w:r>
    </w:p>
    <w:p w:rsidR="0067775F" w:rsidRPr="00542041" w:rsidRDefault="0067775F"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e. Dacă în interiorul termenului de 30 zile, proprietarul terenului s-a conformat somaţiei, se încheie </w:t>
      </w:r>
      <w:r w:rsidRPr="00542041">
        <w:rPr>
          <w:rFonts w:ascii="Verdana" w:hAnsi="Verdana"/>
          <w:lang w:val="ro-RO"/>
        </w:rPr>
        <w:t>proces- verbal de conformitate f. Dacă după expirarea termenului acordat, se constată în teren, că proprietarul nu a efectuat lucrările de întreţinere necesare, persoanele prevăzute la lit.C vor încheia o notă de constatare în care va fi consemnată menţinerea terenului în categoria celor considerate, conform prezentului Regulament, ca fiind neîngrijite, In acest caz, Nota de constatare cu propunerea de majorare a impozitului si celelalte documente vor fi transmise, Compartimentului Colectare Venituri, Casierie și Evidența Patrimoniului care va promova proiectul de hotărâre de majorare a impoz</w:t>
      </w:r>
      <w:r w:rsidR="00542041" w:rsidRPr="00542041">
        <w:rPr>
          <w:rFonts w:ascii="Verdana" w:hAnsi="Verdana"/>
          <w:lang w:val="ro-RO"/>
        </w:rPr>
        <w:t>itului pentru terenul respectiv.</w:t>
      </w:r>
      <w:r w:rsidRPr="00542041">
        <w:rPr>
          <w:rFonts w:ascii="Verdana" w:hAnsi="Verdana"/>
          <w:lang w:val="ro-RO"/>
        </w:rPr>
        <w:t xml:space="preserve"> Terenurile neîngrijite, care intră sub incidenţa prezentului regulament, se stabilesc prin hotărâre a Consiliului Local.</w:t>
      </w:r>
    </w:p>
    <w:p w:rsidR="00542041" w:rsidRPr="00542041" w:rsidRDefault="00542041"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ART.15. În cazul terenului agricol nelucrat timp de doi ani consecutivi, impozitul pe teren se majorează începând cu al treilea an în condiţiile stabilite prin prezenta metodologie:</w:t>
      </w:r>
    </w:p>
    <w:p w:rsidR="00542041" w:rsidRPr="0067775F" w:rsidRDefault="00542041" w:rsidP="0067775F">
      <w:pPr>
        <w:spacing w:after="0" w:line="240" w:lineRule="auto"/>
        <w:ind w:left="360"/>
        <w:jc w:val="both"/>
        <w:rPr>
          <w:rFonts w:ascii="Verdana" w:hAnsi="Verdana"/>
          <w:sz w:val="24"/>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 Terenurile cu destinaţie agricole sunt: terenurile agricole productive - arabile, viile,livezile,pepinierele viticole, pomicole, păşunile, fâneţele, serele, solariile, răsadniţele şi altele asemenea - , cele cu vegetaţie forestieră, dacă nu fac parte din aranjamentele silvice, păşunile împădurite, cele ocupate cu construcţii şi instalaţii agrozootehnice, amenajările piscicole şi de îmbunătăţiri funciare, drumurile tehnologice şi de exploatare agricolă, platformele şi spaţiile de depozitare care servesc nevoilor producţiei agricole şi terenurilor neproductive care pot fi amenajate şi folosite pentru producţia agricolă.</w:t>
      </w:r>
    </w:p>
    <w:p w:rsidR="00542041" w:rsidRPr="00542041" w:rsidRDefault="00542041"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 „Terenurile necultivate" reprezintă suprafeţele de teren arabil care nu au fost cultivate o perioadă de până la doi ani, cunoscute sub denumirea de pârloage.</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b. „Ogoarele" reprezintă suprafeţele de teren arabil care au fost lucrate în toamna anului anterior sau în primăvara anului curent şi nu au fost însămânţate, în scopul refacerii solului.</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c. „Terenurile agricole nelucrate" reprezintă suprafeţele de terenuri agricole neîntreţinute, respectiv terenurile necultivate, care nu au fost arate, cu un grad mare de îmburienare.</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B. Proprietarii de terenuri care nu îşi îndeplinesc obligaţiile, vor fi somaţi anual, în scris, de către reprezentanţii Primariei care în urma constatărilor şi a informaţiilor obţinute vor întocmi un proces verbal de constatare a situaţiilor existente în fiecare an.</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C. Identificarea proprietarilor şi a terenurilor agricole nelucrate, se va face în urma verificărilor si constatărilor pe teren, de către reprezentanţii Primariei, pe baza datelor din registrul agricol, a informaţiilor primite de la alte instituţii abilitate cum sunt: A.P.I.A. si D.J.A. </w:t>
      </w:r>
      <w:r w:rsidR="00542041" w:rsidRPr="00542041">
        <w:rPr>
          <w:rFonts w:ascii="Verdana" w:hAnsi="Verdana"/>
          <w:lang w:val="ro-RO"/>
        </w:rPr>
        <w:t>Bacău</w:t>
      </w:r>
      <w:r w:rsidRPr="00542041">
        <w:rPr>
          <w:rFonts w:ascii="Verdana" w:hAnsi="Verdana"/>
          <w:lang w:val="ro-RO"/>
        </w:rPr>
        <w:t xml:space="preserve"> şi altele asemenea şi la sesizarea cetăţenilor.</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D. Dacă se constată de către persoanele menţionate la lit. C, că terenul agricol nu a fost lucrat timp de doi ani consecutiv conform proceselor verbale anuale de constatare a situaţiei existente, aceste documente cu propunerea de majorare a impozitului vor fi transmise Compartimentului- </w:t>
      </w:r>
      <w:r w:rsidR="00542041" w:rsidRPr="00542041">
        <w:rPr>
          <w:rFonts w:ascii="Verdana" w:hAnsi="Verdana"/>
          <w:lang w:val="ro-RO"/>
        </w:rPr>
        <w:t>Colectare Venituri, Casierie și Evidența Patrimoniului</w:t>
      </w:r>
      <w:r w:rsidRPr="00542041">
        <w:rPr>
          <w:rFonts w:ascii="Verdana" w:hAnsi="Verdana"/>
          <w:lang w:val="ro-RO"/>
        </w:rPr>
        <w:t xml:space="preserve">, care va promova proiectul de hotărâre de majorare a </w:t>
      </w:r>
      <w:r w:rsidRPr="00542041">
        <w:rPr>
          <w:rFonts w:ascii="Verdana" w:hAnsi="Verdana"/>
          <w:lang w:val="ro-RO"/>
        </w:rPr>
        <w:lastRenderedPageBreak/>
        <w:t>impoz</w:t>
      </w:r>
      <w:r w:rsidR="00542041" w:rsidRPr="00542041">
        <w:rPr>
          <w:rFonts w:ascii="Verdana" w:hAnsi="Verdana"/>
          <w:lang w:val="ro-RO"/>
        </w:rPr>
        <w:t>itului pentru terenul respectiv.</w:t>
      </w:r>
      <w:r w:rsidRPr="00542041">
        <w:rPr>
          <w:rFonts w:ascii="Verdana" w:hAnsi="Verdana"/>
          <w:lang w:val="ro-RO"/>
        </w:rPr>
        <w:t xml:space="preserve"> Terenurile neîngrijite, care intră sub incidenţa prezentului regulament, se stabilesc prin hotărâre a Consiliului Local.</w:t>
      </w:r>
    </w:p>
    <w:p w:rsidR="00542041" w:rsidRPr="0067775F" w:rsidRDefault="00542041" w:rsidP="0067775F">
      <w:pPr>
        <w:spacing w:after="0" w:line="240" w:lineRule="auto"/>
        <w:ind w:left="360"/>
        <w:jc w:val="both"/>
        <w:rPr>
          <w:rFonts w:ascii="Verdana" w:hAnsi="Verdana"/>
          <w:sz w:val="24"/>
          <w:lang w:val="ro-RO"/>
        </w:rPr>
      </w:pPr>
    </w:p>
    <w:p w:rsidR="0067775F"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t>CAP. 6. STABILIREA IMPOZITULUI MAJORAT</w:t>
      </w:r>
    </w:p>
    <w:p w:rsidR="00542041" w:rsidRPr="00542041" w:rsidRDefault="00542041" w:rsidP="0067775F">
      <w:pPr>
        <w:spacing w:after="0" w:line="240" w:lineRule="auto"/>
        <w:ind w:left="360"/>
        <w:jc w:val="both"/>
        <w:rPr>
          <w:rFonts w:ascii="Verdana" w:hAnsi="Verdana"/>
          <w:b/>
          <w:sz w:val="24"/>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ART.16. Nivelul impozitului majorat se stabileşte anual prin Hotărârea Consiliului Local de stabilire a impozitelor şi taxelor pentru anul următor.</w:t>
      </w:r>
    </w:p>
    <w:p w:rsidR="00542041" w:rsidRPr="00542041" w:rsidRDefault="00542041"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ART.17. în baza prevederilor Codului Fiscal şi a Hotărârii Consiliului Local pentru stabilirea impozitelor şi taxelor pentru anul următor, în cazul clădirilor şi terenurilor stabilite ca având stare necorespunzătoare se aplica majorarea impozitului.</w:t>
      </w:r>
    </w:p>
    <w:p w:rsidR="00542041" w:rsidRPr="00542041" w:rsidRDefault="00542041" w:rsidP="0067775F">
      <w:pPr>
        <w:spacing w:after="0" w:line="240" w:lineRule="auto"/>
        <w:ind w:left="360"/>
        <w:jc w:val="both"/>
        <w:rPr>
          <w:rFonts w:ascii="Verdana" w:hAnsi="Verdana"/>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ART.18. Măsura impozitului majorat se aprobă de către Consiliul Local al </w:t>
      </w:r>
      <w:r w:rsidR="00542041" w:rsidRPr="00542041">
        <w:rPr>
          <w:rFonts w:ascii="Verdana" w:hAnsi="Verdana"/>
          <w:lang w:val="ro-RO"/>
        </w:rPr>
        <w:t>comunei Gura Văii</w:t>
      </w:r>
      <w:r w:rsidRPr="00542041">
        <w:rPr>
          <w:rFonts w:ascii="Verdana" w:hAnsi="Verdana"/>
          <w:lang w:val="ro-RO"/>
        </w:rPr>
        <w:t>, individual pentru fiecare clădire/ teren în parte şi se aplică tuturor proprietarilor/coproprietarilor imobilului începând cu data de 1 ianuarie a anului următor celui în care a fost adoptată hotărârea.</w:t>
      </w:r>
    </w:p>
    <w:p w:rsidR="00542041" w:rsidRPr="00542041" w:rsidRDefault="00542041" w:rsidP="0067775F">
      <w:pPr>
        <w:spacing w:after="0" w:line="240" w:lineRule="auto"/>
        <w:ind w:left="360"/>
        <w:jc w:val="both"/>
        <w:rPr>
          <w:rFonts w:ascii="Verdana" w:hAnsi="Verdana"/>
          <w:lang w:val="ro-RO"/>
        </w:rPr>
      </w:pPr>
    </w:p>
    <w:p w:rsidR="0067775F" w:rsidRPr="00542041" w:rsidRDefault="0067775F" w:rsidP="00542041">
      <w:pPr>
        <w:spacing w:after="0" w:line="240" w:lineRule="auto"/>
        <w:ind w:left="360"/>
        <w:jc w:val="both"/>
        <w:rPr>
          <w:rFonts w:ascii="Verdana" w:hAnsi="Verdana"/>
          <w:lang w:val="ro-RO"/>
        </w:rPr>
      </w:pPr>
      <w:r w:rsidRPr="00542041">
        <w:rPr>
          <w:rFonts w:ascii="Verdana" w:hAnsi="Verdana"/>
          <w:lang w:val="ro-RO"/>
        </w:rPr>
        <w:t>ART.19. Hotărârea Consiliului Local, Decizia de impunere a impozitului majorat pentru clădirea/terenul neîngrijit şi Nota tehnică de constatare, se transmit proprietarilor/coproprietarilor</w:t>
      </w:r>
      <w:r w:rsidRPr="00542041">
        <w:rPr>
          <w:sz w:val="20"/>
        </w:rPr>
        <w:t xml:space="preserve"> </w:t>
      </w:r>
      <w:r w:rsidRPr="00542041">
        <w:rPr>
          <w:rFonts w:ascii="Verdana" w:hAnsi="Verdana"/>
          <w:lang w:val="ro-RO"/>
        </w:rPr>
        <w:t xml:space="preserve">clădirii/tronsonului de clădire/terenului prin grija Compartimentului- </w:t>
      </w:r>
      <w:r w:rsidR="00542041" w:rsidRPr="00542041">
        <w:rPr>
          <w:rFonts w:ascii="Verdana" w:hAnsi="Verdana"/>
          <w:lang w:val="ro-RO"/>
        </w:rPr>
        <w:t>Colectare Venituri , Casierie și Evidența patrimoniului</w:t>
      </w:r>
      <w:r w:rsidRPr="00542041">
        <w:rPr>
          <w:rFonts w:ascii="Verdana" w:hAnsi="Verdana"/>
          <w:lang w:val="ro-RO"/>
        </w:rPr>
        <w:t>.</w:t>
      </w:r>
    </w:p>
    <w:p w:rsidR="00542041" w:rsidRPr="00542041" w:rsidRDefault="00542041" w:rsidP="00542041">
      <w:pPr>
        <w:spacing w:after="0" w:line="240" w:lineRule="auto"/>
        <w:ind w:left="360"/>
        <w:jc w:val="both"/>
        <w:rPr>
          <w:rFonts w:ascii="Verdana" w:hAnsi="Verdana"/>
          <w:lang w:val="ro-RO"/>
        </w:rPr>
      </w:pPr>
    </w:p>
    <w:p w:rsidR="0067775F" w:rsidRDefault="0067775F" w:rsidP="0067775F">
      <w:pPr>
        <w:spacing w:after="0" w:line="240" w:lineRule="auto"/>
        <w:ind w:left="360"/>
        <w:jc w:val="both"/>
        <w:rPr>
          <w:rFonts w:ascii="Verdana" w:hAnsi="Verdana"/>
          <w:b/>
          <w:sz w:val="24"/>
          <w:lang w:val="ro-RO"/>
        </w:rPr>
      </w:pPr>
      <w:r w:rsidRPr="00542041">
        <w:rPr>
          <w:rFonts w:ascii="Verdana" w:hAnsi="Verdana"/>
          <w:b/>
          <w:sz w:val="24"/>
          <w:lang w:val="ro-RO"/>
        </w:rPr>
        <w:t>CAP. 7. REVIZUIREA IMPOZITULUI MAJORAT</w:t>
      </w:r>
    </w:p>
    <w:p w:rsidR="00542041" w:rsidRPr="00542041" w:rsidRDefault="00542041" w:rsidP="0067775F">
      <w:pPr>
        <w:spacing w:after="0" w:line="240" w:lineRule="auto"/>
        <w:ind w:left="360"/>
        <w:jc w:val="both"/>
        <w:rPr>
          <w:rFonts w:ascii="Verdana" w:hAnsi="Verdana"/>
          <w:b/>
          <w:sz w:val="24"/>
          <w:lang w:val="ro-RO"/>
        </w:rPr>
      </w:pP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 xml:space="preserve">ART.20. Proprietarii clădirilor/terenurilor neîngrijite au obligaţia notificării către </w:t>
      </w:r>
      <w:r w:rsidR="00542041" w:rsidRPr="00542041">
        <w:rPr>
          <w:rFonts w:ascii="Verdana" w:hAnsi="Verdana"/>
          <w:lang w:val="ro-RO"/>
        </w:rPr>
        <w:t>Colectare Venituri, Casierie și Evidența Patrimoniului</w:t>
      </w:r>
      <w:r w:rsidRPr="00542041">
        <w:rPr>
          <w:rFonts w:ascii="Verdana" w:hAnsi="Verdana"/>
          <w:lang w:val="ro-RO"/>
        </w:rPr>
        <w:t xml:space="preserve"> cu privire la stadiul măsurilor de remediere luate, în caz contrar impozitul majorat se aplică automat şi în anii fiscali următori la nivelul cotei de majorare stabilită de Consiliul local.</w:t>
      </w:r>
    </w:p>
    <w:p w:rsidR="0067775F" w:rsidRPr="00542041" w:rsidRDefault="0067775F" w:rsidP="0067775F">
      <w:pPr>
        <w:spacing w:after="0" w:line="240" w:lineRule="auto"/>
        <w:ind w:left="360"/>
        <w:jc w:val="both"/>
        <w:rPr>
          <w:rFonts w:ascii="Verdana" w:hAnsi="Verdana"/>
          <w:lang w:val="ro-RO"/>
        </w:rPr>
      </w:pPr>
      <w:r w:rsidRPr="00542041">
        <w:rPr>
          <w:rFonts w:ascii="Verdana" w:hAnsi="Verdana"/>
          <w:lang w:val="ro-RO"/>
        </w:rPr>
        <w:t>ART.21. In situaţia în care proprietarii clădirilor/terenurilor neîngrijite comunică luarea măsurilor de remediere, reprezentanţii autorităţii publice locale vor verifica starea tehnică a acesteia prin întocmirea unei noi Note de constatare, pe baza căreia se va stabili păstrarea/sistarea măsurii impozitului majorat.</w:t>
      </w:r>
    </w:p>
    <w:p w:rsidR="00542041" w:rsidRPr="0067775F" w:rsidRDefault="00542041" w:rsidP="0067775F">
      <w:pPr>
        <w:spacing w:after="0" w:line="240" w:lineRule="auto"/>
        <w:ind w:left="360"/>
        <w:jc w:val="both"/>
        <w:rPr>
          <w:rFonts w:ascii="Verdana" w:hAnsi="Verdana"/>
          <w:sz w:val="24"/>
          <w:lang w:val="ro-RO"/>
        </w:rPr>
      </w:pPr>
    </w:p>
    <w:p w:rsidR="0067775F" w:rsidRPr="0067775F" w:rsidRDefault="0067775F" w:rsidP="0067775F">
      <w:pPr>
        <w:spacing w:after="0" w:line="240" w:lineRule="auto"/>
        <w:ind w:left="360"/>
        <w:jc w:val="both"/>
        <w:rPr>
          <w:rFonts w:ascii="Verdana" w:hAnsi="Verdana"/>
          <w:sz w:val="24"/>
          <w:lang w:val="ro-RO"/>
        </w:rPr>
      </w:pPr>
      <w:r w:rsidRPr="0067775F">
        <w:rPr>
          <w:rFonts w:ascii="Verdana" w:hAnsi="Verdana"/>
          <w:sz w:val="24"/>
          <w:lang w:val="ro-RO"/>
        </w:rPr>
        <w:t>ART. 22. Următoarele anexe fac parte integranta din prezentul regulament:</w:t>
      </w:r>
    </w:p>
    <w:p w:rsidR="0067775F" w:rsidRPr="0067775F" w:rsidRDefault="0067775F" w:rsidP="0067775F">
      <w:pPr>
        <w:spacing w:after="0" w:line="240" w:lineRule="auto"/>
        <w:ind w:left="360"/>
        <w:jc w:val="both"/>
        <w:rPr>
          <w:rFonts w:ascii="Verdana" w:hAnsi="Verdana"/>
          <w:b/>
          <w:sz w:val="24"/>
          <w:lang w:val="ro-RO"/>
        </w:rPr>
      </w:pPr>
      <w:r w:rsidRPr="0067775F">
        <w:rPr>
          <w:rFonts w:ascii="Verdana" w:hAnsi="Verdana"/>
          <w:b/>
          <w:sz w:val="24"/>
          <w:lang w:val="ro-RO"/>
        </w:rPr>
        <w:t> Anexa nr. 1 - Nota de constatare a stării tehnice a clădirii</w:t>
      </w:r>
    </w:p>
    <w:p w:rsidR="0067775F" w:rsidRDefault="0067775F" w:rsidP="0067775F">
      <w:pPr>
        <w:spacing w:after="0" w:line="240" w:lineRule="auto"/>
        <w:ind w:left="360"/>
        <w:jc w:val="both"/>
        <w:rPr>
          <w:rFonts w:ascii="Verdana" w:hAnsi="Verdana"/>
          <w:b/>
          <w:sz w:val="24"/>
          <w:lang w:val="ro-RO"/>
        </w:rPr>
      </w:pPr>
      <w:r w:rsidRPr="0067775F">
        <w:rPr>
          <w:rFonts w:ascii="Verdana" w:hAnsi="Verdana"/>
          <w:b/>
          <w:sz w:val="24"/>
          <w:lang w:val="ro-RO"/>
        </w:rPr>
        <w:t> Anexa nr. 2 - Nota de constatare a stării tehnice a terenului intravilan</w:t>
      </w: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67775F">
      <w:pPr>
        <w:spacing w:after="0" w:line="240" w:lineRule="auto"/>
        <w:ind w:left="360"/>
        <w:jc w:val="both"/>
        <w:rPr>
          <w:rFonts w:ascii="Verdana" w:hAnsi="Verdana"/>
          <w:b/>
          <w:sz w:val="24"/>
          <w:lang w:val="ro-RO"/>
        </w:rPr>
      </w:pPr>
    </w:p>
    <w:p w:rsidR="001A6FBB" w:rsidRDefault="001A6FBB" w:rsidP="001A6FBB">
      <w:pPr>
        <w:spacing w:after="0" w:line="240" w:lineRule="auto"/>
        <w:ind w:left="360"/>
        <w:jc w:val="right"/>
        <w:rPr>
          <w:rFonts w:ascii="Verdana" w:hAnsi="Verdana"/>
          <w:b/>
          <w:sz w:val="24"/>
          <w:lang w:val="ro-RO"/>
        </w:rPr>
      </w:pPr>
      <w:r>
        <w:rPr>
          <w:rFonts w:ascii="Verdana" w:hAnsi="Verdana"/>
          <w:b/>
          <w:sz w:val="24"/>
          <w:lang w:val="ro-RO"/>
        </w:rPr>
        <w:t>Anexa nr.1 la Regulament</w:t>
      </w:r>
    </w:p>
    <w:p w:rsidR="001A6FBB" w:rsidRPr="00216B2D" w:rsidRDefault="001A6FBB" w:rsidP="001A6FBB">
      <w:pPr>
        <w:spacing w:after="0" w:line="240" w:lineRule="auto"/>
        <w:ind w:left="360"/>
        <w:jc w:val="center"/>
        <w:rPr>
          <w:rFonts w:ascii="Verdana" w:hAnsi="Verdana"/>
          <w:b/>
          <w:sz w:val="24"/>
          <w:lang w:val="ro-RO"/>
        </w:rPr>
      </w:pPr>
    </w:p>
    <w:p w:rsidR="003961FE" w:rsidRDefault="001A6FBB" w:rsidP="001A6FBB">
      <w:pPr>
        <w:jc w:val="center"/>
        <w:rPr>
          <w:rFonts w:ascii="Verdana" w:hAnsi="Verdana"/>
          <w:b/>
          <w:sz w:val="24"/>
          <w:lang w:val="ro-RO"/>
        </w:rPr>
      </w:pPr>
      <w:r w:rsidRPr="0067775F">
        <w:rPr>
          <w:rFonts w:ascii="Verdana" w:hAnsi="Verdana"/>
          <w:b/>
          <w:sz w:val="24"/>
          <w:lang w:val="ro-RO"/>
        </w:rPr>
        <w:t>Nota de constatare a stării tehnice a clădirii</w:t>
      </w:r>
    </w:p>
    <w:p w:rsidR="001A6FBB" w:rsidRDefault="001A6FBB" w:rsidP="001A6FBB">
      <w:pPr>
        <w:jc w:val="center"/>
        <w:rPr>
          <w:rFonts w:ascii="Verdana" w:hAnsi="Verdana"/>
          <w:sz w:val="24"/>
          <w:lang w:val="ro-RO"/>
        </w:rPr>
      </w:pPr>
      <w:r w:rsidRPr="001A6FBB">
        <w:rPr>
          <w:rFonts w:ascii="Verdana" w:hAnsi="Verdana"/>
          <w:noProof/>
          <w:sz w:val="24"/>
        </w:rPr>
        <w:drawing>
          <wp:inline distT="0" distB="0" distL="0" distR="0">
            <wp:extent cx="3787140" cy="1045464"/>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9666" cy="1048922"/>
                    </a:xfrm>
                    <a:prstGeom prst="rect">
                      <a:avLst/>
                    </a:prstGeom>
                    <a:noFill/>
                    <a:ln>
                      <a:noFill/>
                    </a:ln>
                  </pic:spPr>
                </pic:pic>
              </a:graphicData>
            </a:graphic>
          </wp:inline>
        </w:drawing>
      </w:r>
    </w:p>
    <w:p w:rsidR="001A6FBB" w:rsidRDefault="001A6FBB" w:rsidP="001A6FBB">
      <w:pPr>
        <w:jc w:val="both"/>
        <w:rPr>
          <w:rFonts w:ascii="Verdana" w:hAnsi="Verdana"/>
          <w:sz w:val="24"/>
          <w:lang w:val="ro-RO"/>
        </w:rPr>
      </w:pPr>
      <w:r w:rsidRPr="001A6FBB">
        <w:rPr>
          <w:rFonts w:ascii="Verdana" w:hAnsi="Verdana"/>
          <w:noProof/>
          <w:sz w:val="24"/>
        </w:rPr>
        <w:lastRenderedPageBreak/>
        <w:drawing>
          <wp:inline distT="0" distB="0" distL="0" distR="0">
            <wp:extent cx="5943600" cy="67874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787482"/>
                    </a:xfrm>
                    <a:prstGeom prst="rect">
                      <a:avLst/>
                    </a:prstGeom>
                    <a:noFill/>
                    <a:ln>
                      <a:noFill/>
                    </a:ln>
                  </pic:spPr>
                </pic:pic>
              </a:graphicData>
            </a:graphic>
          </wp:inline>
        </w:drawing>
      </w:r>
    </w:p>
    <w:p w:rsidR="001A6FBB" w:rsidRDefault="001A6FBB" w:rsidP="001A6FBB">
      <w:pPr>
        <w:jc w:val="both"/>
        <w:rPr>
          <w:rFonts w:ascii="Verdana" w:hAnsi="Verdana"/>
          <w:sz w:val="24"/>
          <w:lang w:val="ro-RO"/>
        </w:rPr>
      </w:pPr>
      <w:r w:rsidRPr="001A6FBB">
        <w:rPr>
          <w:rFonts w:ascii="Verdana" w:hAnsi="Verdana"/>
          <w:noProof/>
          <w:sz w:val="24"/>
        </w:rPr>
        <w:lastRenderedPageBreak/>
        <w:drawing>
          <wp:inline distT="0" distB="0" distL="0" distR="0">
            <wp:extent cx="5943600" cy="86431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643107"/>
                    </a:xfrm>
                    <a:prstGeom prst="rect">
                      <a:avLst/>
                    </a:prstGeom>
                    <a:noFill/>
                    <a:ln>
                      <a:noFill/>
                    </a:ln>
                  </pic:spPr>
                </pic:pic>
              </a:graphicData>
            </a:graphic>
          </wp:inline>
        </w:drawing>
      </w:r>
    </w:p>
    <w:p w:rsidR="001A6FBB" w:rsidRDefault="001A6FBB" w:rsidP="001A6FBB">
      <w:pPr>
        <w:jc w:val="both"/>
        <w:rPr>
          <w:rFonts w:ascii="Verdana" w:hAnsi="Verdana"/>
          <w:sz w:val="24"/>
          <w:lang w:val="ro-RO"/>
        </w:rPr>
      </w:pPr>
      <w:r w:rsidRPr="001A6FBB">
        <w:rPr>
          <w:rFonts w:ascii="Verdana" w:hAnsi="Verdana"/>
          <w:noProof/>
          <w:sz w:val="24"/>
        </w:rPr>
        <w:lastRenderedPageBreak/>
        <w:drawing>
          <wp:inline distT="0" distB="0" distL="0" distR="0">
            <wp:extent cx="5943600" cy="887454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874541"/>
                    </a:xfrm>
                    <a:prstGeom prst="rect">
                      <a:avLst/>
                    </a:prstGeom>
                    <a:noFill/>
                    <a:ln>
                      <a:noFill/>
                    </a:ln>
                  </pic:spPr>
                </pic:pic>
              </a:graphicData>
            </a:graphic>
          </wp:inline>
        </w:drawing>
      </w:r>
    </w:p>
    <w:p w:rsidR="001A6FBB" w:rsidRDefault="001A6FBB" w:rsidP="001A6FBB">
      <w:pPr>
        <w:jc w:val="both"/>
        <w:rPr>
          <w:rFonts w:ascii="Verdana" w:hAnsi="Verdana"/>
          <w:sz w:val="24"/>
          <w:lang w:val="ro-RO"/>
        </w:rPr>
      </w:pPr>
      <w:r w:rsidRPr="001A6FBB">
        <w:rPr>
          <w:rFonts w:ascii="Verdana" w:hAnsi="Verdana"/>
          <w:noProof/>
          <w:sz w:val="24"/>
        </w:rPr>
        <w:lastRenderedPageBreak/>
        <w:drawing>
          <wp:inline distT="0" distB="0" distL="0" distR="0">
            <wp:extent cx="5943600" cy="46190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19058"/>
                    </a:xfrm>
                    <a:prstGeom prst="rect">
                      <a:avLst/>
                    </a:prstGeom>
                    <a:noFill/>
                    <a:ln>
                      <a:noFill/>
                    </a:ln>
                  </pic:spPr>
                </pic:pic>
              </a:graphicData>
            </a:graphic>
          </wp:inline>
        </w:drawing>
      </w:r>
    </w:p>
    <w:p w:rsidR="001A6FBB" w:rsidRDefault="001A6FBB" w:rsidP="001A6FBB">
      <w:pPr>
        <w:jc w:val="both"/>
        <w:rPr>
          <w:rFonts w:ascii="Verdana" w:hAnsi="Verdana"/>
          <w:sz w:val="24"/>
          <w:lang w:val="ro-RO"/>
        </w:rPr>
      </w:pPr>
      <w:r>
        <w:rPr>
          <w:rFonts w:ascii="Verdana" w:hAnsi="Verdana"/>
          <w:sz w:val="24"/>
          <w:lang w:val="ro-RO"/>
        </w:rPr>
        <w:t xml:space="preserve">   </w:t>
      </w:r>
      <w:r w:rsidRPr="001A6FBB">
        <w:rPr>
          <w:rFonts w:ascii="Verdana" w:hAnsi="Verdana"/>
          <w:noProof/>
          <w:sz w:val="24"/>
        </w:rPr>
        <w:drawing>
          <wp:inline distT="0" distB="0" distL="0" distR="0">
            <wp:extent cx="5943600" cy="257158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71586"/>
                    </a:xfrm>
                    <a:prstGeom prst="rect">
                      <a:avLst/>
                    </a:prstGeom>
                    <a:noFill/>
                    <a:ln>
                      <a:noFill/>
                    </a:ln>
                  </pic:spPr>
                </pic:pic>
              </a:graphicData>
            </a:graphic>
          </wp:inline>
        </w:drawing>
      </w:r>
    </w:p>
    <w:p w:rsidR="001A6FBB" w:rsidRDefault="001A6FBB" w:rsidP="001A6FBB">
      <w:pPr>
        <w:jc w:val="both"/>
        <w:rPr>
          <w:rFonts w:ascii="Verdana" w:hAnsi="Verdana"/>
          <w:sz w:val="24"/>
          <w:lang w:val="ro-RO"/>
        </w:rPr>
      </w:pPr>
    </w:p>
    <w:p w:rsidR="00212F06" w:rsidRDefault="00212F06" w:rsidP="001A6FBB">
      <w:pPr>
        <w:jc w:val="both"/>
        <w:rPr>
          <w:rFonts w:ascii="Verdana" w:hAnsi="Verdana"/>
          <w:sz w:val="24"/>
          <w:lang w:val="ro-RO"/>
        </w:rPr>
      </w:pPr>
    </w:p>
    <w:p w:rsidR="00212F06" w:rsidRDefault="00212F06" w:rsidP="00212F06">
      <w:pPr>
        <w:jc w:val="right"/>
        <w:rPr>
          <w:rFonts w:ascii="Verdana" w:hAnsi="Verdana"/>
          <w:sz w:val="24"/>
          <w:lang w:val="ro-RO"/>
        </w:rPr>
      </w:pPr>
      <w:r>
        <w:rPr>
          <w:rFonts w:ascii="Verdana" w:hAnsi="Verdana"/>
          <w:sz w:val="24"/>
          <w:lang w:val="ro-RO"/>
        </w:rPr>
        <w:lastRenderedPageBreak/>
        <w:t>Anexa nr.2 la Regulament</w:t>
      </w:r>
    </w:p>
    <w:p w:rsidR="00212F06" w:rsidRDefault="00212F06" w:rsidP="00212F06">
      <w:pPr>
        <w:spacing w:after="0" w:line="240" w:lineRule="auto"/>
        <w:ind w:left="360"/>
        <w:jc w:val="both"/>
        <w:rPr>
          <w:rFonts w:ascii="Verdana" w:hAnsi="Verdana"/>
          <w:b/>
          <w:sz w:val="24"/>
          <w:lang w:val="ro-RO"/>
        </w:rPr>
      </w:pPr>
      <w:r w:rsidRPr="0067775F">
        <w:rPr>
          <w:rFonts w:ascii="Verdana" w:hAnsi="Verdana"/>
          <w:b/>
          <w:sz w:val="24"/>
          <w:lang w:val="ro-RO"/>
        </w:rPr>
        <w:t>Nota de constatare a stării tehnice a terenului intravilan</w:t>
      </w:r>
    </w:p>
    <w:p w:rsidR="00212F06" w:rsidRDefault="00212F06" w:rsidP="00212F06">
      <w:pPr>
        <w:jc w:val="center"/>
        <w:rPr>
          <w:rFonts w:ascii="Verdana" w:hAnsi="Verdana"/>
          <w:sz w:val="24"/>
          <w:lang w:val="ro-RO"/>
        </w:rPr>
      </w:pPr>
      <w:r w:rsidRPr="00212F06">
        <w:rPr>
          <w:rFonts w:ascii="Verdana" w:hAnsi="Verdana"/>
          <w:noProof/>
          <w:sz w:val="24"/>
        </w:rPr>
        <w:drawing>
          <wp:inline distT="0" distB="0" distL="0" distR="0">
            <wp:extent cx="5943600" cy="591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1112"/>
                    </a:xfrm>
                    <a:prstGeom prst="rect">
                      <a:avLst/>
                    </a:prstGeom>
                    <a:noFill/>
                    <a:ln>
                      <a:noFill/>
                    </a:ln>
                  </pic:spPr>
                </pic:pic>
              </a:graphicData>
            </a:graphic>
          </wp:inline>
        </w:drawing>
      </w:r>
    </w:p>
    <w:p w:rsidR="00212F06" w:rsidRDefault="00212F06" w:rsidP="00212F06">
      <w:pPr>
        <w:jc w:val="center"/>
        <w:rPr>
          <w:rFonts w:ascii="Verdana" w:hAnsi="Verdana"/>
          <w:sz w:val="24"/>
          <w:lang w:val="ro-RO"/>
        </w:rPr>
      </w:pPr>
      <w:r>
        <w:rPr>
          <w:rFonts w:ascii="Verdana" w:hAnsi="Verdana"/>
          <w:sz w:val="24"/>
          <w:lang w:val="ro-RO"/>
        </w:rPr>
        <w:t>FIȘA DE EVALUARE A TERENURILOR NEÎNGIRJITE</w:t>
      </w:r>
    </w:p>
    <w:p w:rsidR="00212F06" w:rsidRDefault="00212F06" w:rsidP="00212F06">
      <w:pPr>
        <w:jc w:val="center"/>
        <w:rPr>
          <w:rFonts w:ascii="Verdana" w:hAnsi="Verdana"/>
          <w:sz w:val="24"/>
          <w:lang w:val="ro-RO"/>
        </w:rPr>
      </w:pPr>
      <w:r>
        <w:rPr>
          <w:rFonts w:ascii="Verdana" w:hAnsi="Verdana"/>
          <w:sz w:val="24"/>
          <w:lang w:val="ro-RO"/>
        </w:rPr>
        <w:t>DE PE RAZA COMUNEI GURA VĂII</w:t>
      </w:r>
    </w:p>
    <w:p w:rsidR="00212F06" w:rsidRDefault="00212F06" w:rsidP="00212F06">
      <w:pPr>
        <w:jc w:val="center"/>
        <w:rPr>
          <w:rFonts w:ascii="Verdana" w:hAnsi="Verdana"/>
          <w:sz w:val="24"/>
          <w:lang w:val="ro-RO"/>
        </w:rPr>
      </w:pPr>
      <w:r>
        <w:rPr>
          <w:rFonts w:ascii="Verdana" w:hAnsi="Verdana"/>
          <w:sz w:val="24"/>
          <w:lang w:val="ro-RO"/>
        </w:rPr>
        <w:t>Adresa________________________________</w:t>
      </w:r>
    </w:p>
    <w:p w:rsidR="00212F06" w:rsidRDefault="00212F06" w:rsidP="00212F06">
      <w:pPr>
        <w:jc w:val="center"/>
        <w:rPr>
          <w:rFonts w:ascii="Verdana" w:hAnsi="Verdana"/>
          <w:sz w:val="24"/>
          <w:lang w:val="ro-RO"/>
        </w:rPr>
      </w:pPr>
      <w:r>
        <w:rPr>
          <w:rFonts w:ascii="Verdana" w:hAnsi="Verdana"/>
          <w:sz w:val="24"/>
          <w:lang w:val="ro-RO"/>
        </w:rPr>
        <w:t>Data_____________________________________</w:t>
      </w:r>
    </w:p>
    <w:p w:rsidR="00212F06" w:rsidRDefault="00212F06" w:rsidP="00212F06">
      <w:pPr>
        <w:jc w:val="center"/>
        <w:rPr>
          <w:rFonts w:ascii="Verdana" w:hAnsi="Verdana"/>
          <w:sz w:val="24"/>
          <w:lang w:val="ro-RO"/>
        </w:rPr>
      </w:pPr>
      <w:r w:rsidRPr="00212F06">
        <w:rPr>
          <w:rFonts w:ascii="Verdana" w:hAnsi="Verdana"/>
          <w:noProof/>
          <w:sz w:val="24"/>
        </w:rPr>
        <w:drawing>
          <wp:inline distT="0" distB="0" distL="0" distR="0">
            <wp:extent cx="5943600" cy="232292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22922"/>
                    </a:xfrm>
                    <a:prstGeom prst="rect">
                      <a:avLst/>
                    </a:prstGeom>
                    <a:noFill/>
                    <a:ln>
                      <a:noFill/>
                    </a:ln>
                  </pic:spPr>
                </pic:pic>
              </a:graphicData>
            </a:graphic>
          </wp:inline>
        </w:drawing>
      </w:r>
    </w:p>
    <w:p w:rsidR="00212F06" w:rsidRDefault="00212F06" w:rsidP="00212F06">
      <w:pPr>
        <w:jc w:val="center"/>
        <w:rPr>
          <w:rFonts w:ascii="Verdana" w:hAnsi="Verdana"/>
          <w:sz w:val="24"/>
          <w:lang w:val="ro-RO"/>
        </w:rPr>
      </w:pPr>
      <w:r w:rsidRPr="00212F06">
        <w:rPr>
          <w:rFonts w:ascii="Verdana" w:hAnsi="Verdana"/>
          <w:noProof/>
          <w:sz w:val="24"/>
        </w:rPr>
        <w:lastRenderedPageBreak/>
        <w:drawing>
          <wp:inline distT="0" distB="0" distL="0" distR="0">
            <wp:extent cx="5943600" cy="36846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4697"/>
                    </a:xfrm>
                    <a:prstGeom prst="rect">
                      <a:avLst/>
                    </a:prstGeom>
                    <a:noFill/>
                    <a:ln>
                      <a:noFill/>
                    </a:ln>
                  </pic:spPr>
                </pic:pic>
              </a:graphicData>
            </a:graphic>
          </wp:inline>
        </w:drawing>
      </w: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p>
    <w:p w:rsidR="00212F06" w:rsidRDefault="00212F06" w:rsidP="00212F06">
      <w:pPr>
        <w:jc w:val="center"/>
        <w:rPr>
          <w:rFonts w:ascii="Verdana" w:hAnsi="Verdana"/>
          <w:sz w:val="24"/>
          <w:lang w:val="ro-RO"/>
        </w:rPr>
      </w:pPr>
      <w:r>
        <w:rPr>
          <w:rFonts w:ascii="Verdana" w:hAnsi="Verdana"/>
          <w:sz w:val="24"/>
          <w:lang w:val="ro-RO"/>
        </w:rPr>
        <w:lastRenderedPageBreak/>
        <w:t>CRITERII DE ÎNCADRARE</w:t>
      </w:r>
    </w:p>
    <w:p w:rsidR="00212F06" w:rsidRDefault="00212F06" w:rsidP="00212F06">
      <w:pPr>
        <w:jc w:val="center"/>
        <w:rPr>
          <w:rFonts w:ascii="Verdana" w:hAnsi="Verdana"/>
          <w:sz w:val="24"/>
          <w:lang w:val="ro-RO"/>
        </w:rPr>
      </w:pPr>
      <w:r w:rsidRPr="00212F06">
        <w:rPr>
          <w:rFonts w:ascii="Verdana" w:hAnsi="Verdana"/>
          <w:noProof/>
          <w:sz w:val="24"/>
        </w:rPr>
        <w:drawing>
          <wp:inline distT="0" distB="0" distL="0" distR="0">
            <wp:extent cx="5943600" cy="7280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280492"/>
                    </a:xfrm>
                    <a:prstGeom prst="rect">
                      <a:avLst/>
                    </a:prstGeom>
                    <a:noFill/>
                    <a:ln>
                      <a:noFill/>
                    </a:ln>
                  </pic:spPr>
                </pic:pic>
              </a:graphicData>
            </a:graphic>
          </wp:inline>
        </w:drawing>
      </w:r>
    </w:p>
    <w:p w:rsidR="00212F06" w:rsidRPr="003961FE" w:rsidRDefault="00212F06" w:rsidP="00212F06">
      <w:pPr>
        <w:jc w:val="center"/>
        <w:rPr>
          <w:rFonts w:ascii="Verdana" w:hAnsi="Verdana"/>
          <w:sz w:val="24"/>
          <w:lang w:val="ro-RO"/>
        </w:rPr>
      </w:pPr>
      <w:r w:rsidRPr="00212F06">
        <w:rPr>
          <w:rFonts w:ascii="Verdana" w:hAnsi="Verdana"/>
          <w:noProof/>
          <w:sz w:val="24"/>
        </w:rPr>
        <w:lastRenderedPageBreak/>
        <w:drawing>
          <wp:inline distT="0" distB="0" distL="0" distR="0">
            <wp:extent cx="5943600" cy="3892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2823"/>
                    </a:xfrm>
                    <a:prstGeom prst="rect">
                      <a:avLst/>
                    </a:prstGeom>
                    <a:noFill/>
                    <a:ln>
                      <a:noFill/>
                    </a:ln>
                  </pic:spPr>
                </pic:pic>
              </a:graphicData>
            </a:graphic>
          </wp:inline>
        </w:drawing>
      </w:r>
      <w:bookmarkStart w:id="0" w:name="_GoBack"/>
      <w:bookmarkEnd w:id="0"/>
    </w:p>
    <w:sectPr w:rsidR="00212F06" w:rsidRPr="003961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77F3E"/>
    <w:multiLevelType w:val="hybridMultilevel"/>
    <w:tmpl w:val="47DC1FEE"/>
    <w:lvl w:ilvl="0" w:tplc="A24493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133FBF"/>
    <w:multiLevelType w:val="hybridMultilevel"/>
    <w:tmpl w:val="4BEE7D94"/>
    <w:lvl w:ilvl="0" w:tplc="3F04FB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3F5543"/>
    <w:multiLevelType w:val="hybridMultilevel"/>
    <w:tmpl w:val="6CEC0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8D5"/>
    <w:rsid w:val="001A6FBB"/>
    <w:rsid w:val="00212F06"/>
    <w:rsid w:val="00216B2D"/>
    <w:rsid w:val="003961FE"/>
    <w:rsid w:val="00542041"/>
    <w:rsid w:val="0067775F"/>
    <w:rsid w:val="006D7E3D"/>
    <w:rsid w:val="0089144C"/>
    <w:rsid w:val="00B248D5"/>
    <w:rsid w:val="00B44E0E"/>
    <w:rsid w:val="00DD3B11"/>
    <w:rsid w:val="00E8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FDA3AA-FF16-46E0-ACDD-5DD72371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18</Pages>
  <Words>3080</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2021-12-11T07:31:00Z</dcterms:created>
  <dcterms:modified xsi:type="dcterms:W3CDTF">2021-12-11T09:41:00Z</dcterms:modified>
</cp:coreProperties>
</file>